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bidi w:val="0"/>
        <w:adjustRightInd/>
        <w:snapToGrid/>
        <w:jc w:val="center"/>
        <w:textAlignment w:val="auto"/>
        <w:rPr>
          <w:rFonts w:hint="eastAsia"/>
          <w:color w:val="auto"/>
          <w:lang w:val="en-US" w:eastAsia="zh-CN"/>
        </w:rPr>
      </w:pPr>
      <w:r>
        <w:rPr>
          <w:rFonts w:hint="eastAsia"/>
          <w:color w:val="auto"/>
          <w:lang w:eastAsia="zh-CN"/>
        </w:rPr>
        <w:t>东乡县“</w:t>
      </w:r>
      <w:r>
        <w:rPr>
          <w:rFonts w:hint="eastAsia"/>
          <w:color w:val="auto"/>
          <w:lang w:val="en-US" w:eastAsia="zh-CN"/>
        </w:rPr>
        <w:t>雨露计划</w:t>
      </w:r>
      <w:r>
        <w:rPr>
          <w:rFonts w:hint="eastAsia"/>
          <w:color w:val="auto"/>
          <w:lang w:eastAsia="zh-CN"/>
        </w:rPr>
        <w:t>”</w:t>
      </w:r>
      <w:r>
        <w:rPr>
          <w:rFonts w:hint="eastAsia"/>
          <w:color w:val="auto"/>
          <w:lang w:val="en-US" w:eastAsia="zh-CN"/>
        </w:rPr>
        <w:t>补助2021年东西协作资金绩效自评</w:t>
      </w:r>
    </w:p>
    <w:p>
      <w:pPr>
        <w:pStyle w:val="2"/>
        <w:pageBreakBefore w:val="0"/>
        <w:widowControl w:val="0"/>
        <w:kinsoku/>
        <w:wordWrap/>
        <w:overflowPunct/>
        <w:bidi w:val="0"/>
        <w:adjustRightInd/>
        <w:snapToGrid/>
        <w:jc w:val="center"/>
        <w:textAlignment w:val="auto"/>
        <w:rPr>
          <w:rFonts w:hint="eastAsia"/>
          <w:color w:val="auto"/>
          <w:lang w:val="en-US" w:eastAsia="zh-CN"/>
        </w:rPr>
      </w:pPr>
      <w:r>
        <w:rPr>
          <w:rFonts w:hint="eastAsia"/>
          <w:color w:val="auto"/>
          <w:lang w:val="en-US" w:eastAsia="zh-CN"/>
        </w:rPr>
        <w:t>总结报告</w:t>
      </w:r>
    </w:p>
    <w:p>
      <w:pPr>
        <w:pageBreakBefore w:val="0"/>
        <w:widowControl w:val="0"/>
        <w:kinsoku/>
        <w:wordWrap/>
        <w:overflowPunct/>
        <w:bidi w:val="0"/>
        <w:adjustRightInd/>
        <w:snapToGrid/>
        <w:textAlignment w:val="auto"/>
        <w:rPr>
          <w:rFonts w:hint="eastAsia"/>
          <w:color w:val="auto"/>
          <w:sz w:val="28"/>
          <w:szCs w:val="28"/>
          <w:lang w:val="en-US" w:eastAsia="zh-CN"/>
        </w:rPr>
      </w:pPr>
      <w:r>
        <w:rPr>
          <w:rFonts w:hint="eastAsia"/>
          <w:color w:val="auto"/>
          <w:sz w:val="28"/>
          <w:szCs w:val="28"/>
          <w:lang w:val="en-US" w:eastAsia="zh-CN"/>
        </w:rPr>
        <w:t>县乡村振兴领导小组办公室：</w:t>
      </w:r>
    </w:p>
    <w:p>
      <w:pPr>
        <w:pageBreakBefore w:val="0"/>
        <w:widowControl w:val="0"/>
        <w:kinsoku/>
        <w:wordWrap/>
        <w:overflowPunct/>
        <w:bidi w:val="0"/>
        <w:adjustRightInd/>
        <w:snapToGrid/>
        <w:ind w:firstLine="560" w:firstLineChars="200"/>
        <w:textAlignment w:val="auto"/>
        <w:rPr>
          <w:rFonts w:hint="default"/>
          <w:color w:val="auto"/>
          <w:sz w:val="28"/>
          <w:szCs w:val="28"/>
          <w:lang w:val="en-US" w:eastAsia="zh-CN"/>
        </w:rPr>
      </w:pPr>
      <w:r>
        <w:rPr>
          <w:rFonts w:hint="eastAsia"/>
          <w:color w:val="auto"/>
          <w:sz w:val="28"/>
          <w:szCs w:val="28"/>
          <w:lang w:val="en-US" w:eastAsia="zh-CN"/>
        </w:rPr>
        <w:t>根据东乡县乡村振兴领导小组办公室关于对全县东西协作援助资金绩效管理工作进行自查自评的通知，现将东乡县2021年东西协作援助资金中对“雨露计划”培训项目下达的180万元资金自评情况汇报如下：</w:t>
      </w:r>
    </w:p>
    <w:p>
      <w:pPr>
        <w:pageBreakBefore w:val="0"/>
        <w:widowControl w:val="0"/>
        <w:numPr>
          <w:ilvl w:val="0"/>
          <w:numId w:val="1"/>
        </w:numPr>
        <w:kinsoku/>
        <w:wordWrap/>
        <w:overflowPunct/>
        <w:bidi w:val="0"/>
        <w:adjustRightInd/>
        <w:snapToGrid/>
        <w:ind w:firstLine="560" w:firstLineChars="200"/>
        <w:textAlignment w:val="auto"/>
        <w:rPr>
          <w:rFonts w:hint="eastAsia"/>
          <w:color w:val="auto"/>
          <w:sz w:val="28"/>
          <w:szCs w:val="36"/>
          <w:lang w:val="en-US" w:eastAsia="zh-CN"/>
        </w:rPr>
      </w:pPr>
      <w:r>
        <w:rPr>
          <w:rFonts w:hint="eastAsia"/>
          <w:color w:val="auto"/>
          <w:sz w:val="28"/>
          <w:szCs w:val="36"/>
          <w:lang w:val="en-US" w:eastAsia="zh-CN"/>
        </w:rPr>
        <w:t>绩效目标分解下达情况</w:t>
      </w:r>
    </w:p>
    <w:p>
      <w:pPr>
        <w:pageBreakBefore w:val="0"/>
        <w:widowControl w:val="0"/>
        <w:numPr>
          <w:ilvl w:val="0"/>
          <w:numId w:val="0"/>
        </w:numPr>
        <w:kinsoku/>
        <w:wordWrap/>
        <w:overflowPunct/>
        <w:bidi w:val="0"/>
        <w:adjustRightInd/>
        <w:snapToGrid/>
        <w:ind w:firstLine="560" w:firstLineChars="200"/>
        <w:textAlignment w:val="auto"/>
        <w:rPr>
          <w:rFonts w:hint="eastAsia"/>
          <w:color w:val="auto"/>
          <w:sz w:val="28"/>
          <w:szCs w:val="36"/>
          <w:lang w:val="en-US" w:eastAsia="zh-CN"/>
        </w:rPr>
      </w:pPr>
      <w:r>
        <w:rPr>
          <w:rFonts w:hint="eastAsia"/>
          <w:color w:val="auto"/>
          <w:sz w:val="28"/>
          <w:szCs w:val="36"/>
          <w:lang w:val="en-US" w:eastAsia="zh-CN"/>
        </w:rPr>
        <w:t>1.东西协作资金下达预算及项目情况</w:t>
      </w:r>
    </w:p>
    <w:p>
      <w:pPr>
        <w:pageBreakBefore w:val="0"/>
        <w:widowControl w:val="0"/>
        <w:numPr>
          <w:ilvl w:val="0"/>
          <w:numId w:val="0"/>
        </w:numPr>
        <w:kinsoku/>
        <w:wordWrap/>
        <w:overflowPunct/>
        <w:bidi w:val="0"/>
        <w:adjustRightInd/>
        <w:snapToGrid/>
        <w:ind w:firstLine="560" w:firstLineChars="200"/>
        <w:textAlignment w:val="auto"/>
        <w:rPr>
          <w:rFonts w:hint="eastAsia"/>
          <w:color w:val="auto"/>
          <w:sz w:val="28"/>
          <w:szCs w:val="36"/>
          <w:lang w:val="en-US" w:eastAsia="zh-CN"/>
        </w:rPr>
      </w:pPr>
      <w:r>
        <w:rPr>
          <w:rFonts w:hint="eastAsia"/>
          <w:color w:val="auto"/>
          <w:sz w:val="28"/>
          <w:szCs w:val="36"/>
          <w:lang w:val="en-US" w:eastAsia="zh-CN"/>
        </w:rPr>
        <w:t>根据《关于下达东乡县2021年度东西部协作区级援助资金项目计划的通知》（东振领办发</w:t>
      </w:r>
      <w:r>
        <w:rPr>
          <w:rFonts w:hint="eastAsia" w:ascii="宋体" w:hAnsi="宋体" w:eastAsia="宋体" w:cs="宋体"/>
          <w:color w:val="auto"/>
          <w:sz w:val="28"/>
          <w:szCs w:val="36"/>
          <w:lang w:val="en-US" w:eastAsia="zh-CN"/>
        </w:rPr>
        <w:t>〔</w:t>
      </w:r>
      <w:r>
        <w:rPr>
          <w:rFonts w:hint="eastAsia"/>
          <w:color w:val="auto"/>
          <w:sz w:val="28"/>
          <w:szCs w:val="36"/>
          <w:lang w:val="en-US" w:eastAsia="zh-CN"/>
        </w:rPr>
        <w:t>2021</w:t>
      </w:r>
      <w:r>
        <w:rPr>
          <w:rFonts w:hint="eastAsia" w:ascii="宋体" w:hAnsi="宋体" w:eastAsia="宋体" w:cs="宋体"/>
          <w:color w:val="auto"/>
          <w:sz w:val="28"/>
          <w:szCs w:val="36"/>
          <w:lang w:val="en-US" w:eastAsia="zh-CN"/>
        </w:rPr>
        <w:t>〕</w:t>
      </w:r>
      <w:r>
        <w:rPr>
          <w:rFonts w:hint="eastAsia"/>
          <w:color w:val="auto"/>
          <w:sz w:val="28"/>
          <w:szCs w:val="36"/>
          <w:lang w:val="en-US" w:eastAsia="zh-CN"/>
        </w:rPr>
        <w:t>1号）于2021年6月7日下达“雨露计划”补助资金180万元。</w:t>
      </w:r>
    </w:p>
    <w:p>
      <w:pPr>
        <w:pageBreakBefore w:val="0"/>
        <w:widowControl w:val="0"/>
        <w:numPr>
          <w:ilvl w:val="0"/>
          <w:numId w:val="2"/>
        </w:numPr>
        <w:kinsoku/>
        <w:wordWrap/>
        <w:overflowPunct/>
        <w:bidi w:val="0"/>
        <w:adjustRightInd/>
        <w:snapToGrid/>
        <w:ind w:firstLine="560" w:firstLineChars="200"/>
        <w:textAlignment w:val="auto"/>
        <w:rPr>
          <w:rFonts w:hint="eastAsia"/>
          <w:color w:val="auto"/>
          <w:sz w:val="28"/>
          <w:szCs w:val="36"/>
          <w:lang w:val="en-US" w:eastAsia="zh-CN"/>
        </w:rPr>
      </w:pPr>
      <w:r>
        <w:rPr>
          <w:rFonts w:hint="eastAsia"/>
          <w:color w:val="auto"/>
          <w:sz w:val="28"/>
          <w:szCs w:val="36"/>
          <w:lang w:val="en-US" w:eastAsia="zh-CN"/>
        </w:rPr>
        <w:t>东西协作援助资金项目绩效目标设定情况</w:t>
      </w:r>
    </w:p>
    <w:p>
      <w:pPr>
        <w:numPr>
          <w:ilvl w:val="0"/>
          <w:numId w:val="0"/>
        </w:numPr>
        <w:ind w:firstLine="560" w:firstLineChars="200"/>
        <w:jc w:val="left"/>
        <w:rPr>
          <w:rFonts w:hint="eastAsia"/>
          <w:color w:val="auto"/>
          <w:sz w:val="28"/>
          <w:szCs w:val="36"/>
          <w:lang w:val="en-US" w:eastAsia="zh-CN"/>
        </w:rPr>
      </w:pPr>
      <w:r>
        <w:rPr>
          <w:rFonts w:hint="eastAsia"/>
          <w:color w:val="auto"/>
          <w:sz w:val="28"/>
          <w:szCs w:val="36"/>
          <w:lang w:val="en-US" w:eastAsia="zh-CN"/>
        </w:rPr>
        <w:t>东西协作援助资金投入到贫困家庭新成长劳动力中接受中、高等职业教育和技工院校教育的在校生，给予贫困家庭接受职业教育的新成长劳动力发放补助。凡符合条件的农村建档立卡（包括边缘户）贫困家庭学生，按照每学期1500元的标准，一学年共计3000元，补助资金一律通过支农惠农“一卡通”直接发放到贫困家庭。通过“雨露计划”补助激发贫困家庭新成长劳动力入读职业院校的积极性，有利于助推教育帮扶。</w:t>
      </w:r>
    </w:p>
    <w:p>
      <w:pPr>
        <w:pageBreakBefore w:val="0"/>
        <w:widowControl w:val="0"/>
        <w:numPr>
          <w:ilvl w:val="0"/>
          <w:numId w:val="1"/>
        </w:numPr>
        <w:kinsoku/>
        <w:wordWrap/>
        <w:overflowPunct/>
        <w:bidi w:val="0"/>
        <w:adjustRightInd/>
        <w:snapToGrid/>
        <w:ind w:left="0" w:leftChars="0" w:firstLine="560" w:firstLineChars="200"/>
        <w:textAlignment w:val="auto"/>
        <w:rPr>
          <w:rFonts w:hint="default"/>
          <w:color w:val="auto"/>
          <w:sz w:val="28"/>
          <w:szCs w:val="36"/>
          <w:lang w:val="en-US" w:eastAsia="zh-CN"/>
        </w:rPr>
      </w:pPr>
      <w:r>
        <w:rPr>
          <w:rFonts w:hint="eastAsia"/>
          <w:color w:val="auto"/>
          <w:sz w:val="28"/>
          <w:szCs w:val="36"/>
          <w:lang w:val="en-US" w:eastAsia="zh-CN"/>
        </w:rPr>
        <w:t>绩效自评工作开展情况</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color w:val="auto"/>
          <w:sz w:val="28"/>
          <w:szCs w:val="36"/>
          <w:lang w:val="en-US" w:eastAsia="zh-CN"/>
        </w:rPr>
      </w:pPr>
      <w:r>
        <w:rPr>
          <w:rFonts w:hint="eastAsia"/>
          <w:color w:val="auto"/>
          <w:sz w:val="28"/>
          <w:szCs w:val="36"/>
          <w:lang w:val="en-US" w:eastAsia="zh-CN"/>
        </w:rPr>
        <w:t>自2021年1月1日起对“雨露计划”补助工作进行摸排审核，高度重视“雨露计划”补助工作。通过座谈交流、查阅资料、比对分析、实地查看等方式开展全面检查，覆盖全县24个乡镇。从3月开始，本单位下乡人员对照补助花名逐一入户核查，未发现2020年“雨露计划”补助资金存在不规范问题。同时，在入户过程中积极宣传“雨露计划”补助这一惠民政策。</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0" w:leftChars="0" w:firstLine="560" w:firstLineChars="200"/>
        <w:textAlignment w:val="auto"/>
        <w:rPr>
          <w:rFonts w:hint="eastAsia"/>
          <w:color w:val="auto"/>
          <w:sz w:val="28"/>
          <w:szCs w:val="36"/>
          <w:lang w:val="en-US" w:eastAsia="zh-CN"/>
        </w:rPr>
      </w:pPr>
      <w:r>
        <w:rPr>
          <w:rFonts w:hint="eastAsia"/>
          <w:color w:val="auto"/>
          <w:sz w:val="28"/>
          <w:szCs w:val="36"/>
          <w:lang w:val="en-US" w:eastAsia="zh-CN"/>
        </w:rPr>
        <w:t>绩效目标自评完成情况分析</w:t>
      </w:r>
    </w:p>
    <w:p>
      <w:pPr>
        <w:keepNext w:val="0"/>
        <w:keepLines w:val="0"/>
        <w:pageBreakBefore w:val="0"/>
        <w:widowControl w:val="0"/>
        <w:numPr>
          <w:ilvl w:val="0"/>
          <w:numId w:val="3"/>
        </w:numPr>
        <w:kinsoku/>
        <w:wordWrap/>
        <w:overflowPunct/>
        <w:topLinePunct w:val="0"/>
        <w:autoSpaceDE/>
        <w:autoSpaceDN/>
        <w:bidi w:val="0"/>
        <w:adjustRightInd/>
        <w:snapToGrid/>
        <w:spacing w:line="576" w:lineRule="exact"/>
        <w:ind w:leftChars="0" w:firstLine="560" w:firstLineChars="200"/>
        <w:textAlignment w:val="auto"/>
        <w:rPr>
          <w:rFonts w:hint="eastAsia"/>
          <w:color w:val="auto"/>
          <w:sz w:val="28"/>
          <w:szCs w:val="36"/>
          <w:lang w:val="en-US" w:eastAsia="zh-CN"/>
        </w:rPr>
      </w:pPr>
      <w:r>
        <w:rPr>
          <w:rFonts w:hint="eastAsia"/>
          <w:color w:val="auto"/>
          <w:sz w:val="28"/>
          <w:szCs w:val="36"/>
          <w:lang w:val="en-US" w:eastAsia="zh-CN"/>
        </w:rPr>
        <w:t>资金投入情况分析</w:t>
      </w:r>
    </w:p>
    <w:p>
      <w:pPr>
        <w:keepNext w:val="0"/>
        <w:keepLines w:val="0"/>
        <w:pageBreakBefore w:val="0"/>
        <w:widowControl w:val="0"/>
        <w:numPr>
          <w:ilvl w:val="0"/>
          <w:numId w:val="4"/>
        </w:numPr>
        <w:kinsoku/>
        <w:wordWrap/>
        <w:overflowPunct/>
        <w:topLinePunct w:val="0"/>
        <w:autoSpaceDE/>
        <w:autoSpaceDN/>
        <w:bidi w:val="0"/>
        <w:adjustRightInd/>
        <w:snapToGrid/>
        <w:spacing w:line="576" w:lineRule="exact"/>
        <w:ind w:firstLine="560" w:firstLineChars="200"/>
        <w:textAlignment w:val="auto"/>
        <w:rPr>
          <w:rFonts w:hint="eastAsia"/>
          <w:color w:val="auto"/>
          <w:sz w:val="28"/>
          <w:szCs w:val="36"/>
          <w:lang w:val="en-US" w:eastAsia="zh-CN"/>
        </w:rPr>
      </w:pPr>
      <w:r>
        <w:rPr>
          <w:rFonts w:hint="eastAsia"/>
          <w:color w:val="auto"/>
          <w:sz w:val="28"/>
          <w:szCs w:val="36"/>
          <w:lang w:val="en-US" w:eastAsia="zh-CN"/>
        </w:rPr>
        <w:t>项目资金到位情况分析</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firstLineChars="200"/>
        <w:textAlignment w:val="auto"/>
        <w:rPr>
          <w:rFonts w:hint="eastAsia"/>
          <w:color w:val="auto"/>
          <w:sz w:val="28"/>
          <w:szCs w:val="36"/>
          <w:lang w:val="en-US" w:eastAsia="zh-CN"/>
        </w:rPr>
      </w:pPr>
      <w:r>
        <w:rPr>
          <w:rFonts w:hint="eastAsia"/>
          <w:color w:val="auto"/>
          <w:sz w:val="28"/>
          <w:szCs w:val="36"/>
          <w:lang w:val="en-US" w:eastAsia="zh-CN"/>
        </w:rPr>
        <w:t>2021年6月7日到位180万元东西部协作区级援助。</w:t>
      </w:r>
    </w:p>
    <w:p>
      <w:pPr>
        <w:keepNext w:val="0"/>
        <w:keepLines w:val="0"/>
        <w:pageBreakBefore w:val="0"/>
        <w:widowControl w:val="0"/>
        <w:numPr>
          <w:ilvl w:val="0"/>
          <w:numId w:val="4"/>
        </w:numPr>
        <w:kinsoku/>
        <w:wordWrap/>
        <w:overflowPunct/>
        <w:topLinePunct w:val="0"/>
        <w:autoSpaceDE/>
        <w:autoSpaceDN/>
        <w:bidi w:val="0"/>
        <w:adjustRightInd/>
        <w:snapToGrid/>
        <w:spacing w:line="576" w:lineRule="exact"/>
        <w:ind w:left="0" w:leftChars="0" w:firstLine="560" w:firstLineChars="200"/>
        <w:textAlignment w:val="auto"/>
        <w:rPr>
          <w:rFonts w:hint="eastAsia"/>
          <w:color w:val="auto"/>
          <w:sz w:val="28"/>
          <w:szCs w:val="36"/>
          <w:lang w:val="en-US" w:eastAsia="zh-CN"/>
        </w:rPr>
      </w:pPr>
      <w:r>
        <w:rPr>
          <w:rFonts w:hint="eastAsia"/>
          <w:color w:val="auto"/>
          <w:sz w:val="28"/>
          <w:szCs w:val="36"/>
          <w:lang w:val="en-US" w:eastAsia="zh-CN"/>
        </w:rPr>
        <w:t>项目资金执行情况分析</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560" w:firstLineChars="200"/>
        <w:textAlignment w:val="auto"/>
        <w:rPr>
          <w:rFonts w:hint="default"/>
          <w:color w:val="auto"/>
          <w:sz w:val="28"/>
          <w:szCs w:val="36"/>
          <w:lang w:val="en-US" w:eastAsia="zh-CN"/>
        </w:rPr>
      </w:pPr>
      <w:r>
        <w:rPr>
          <w:rFonts w:hint="eastAsia"/>
          <w:color w:val="auto"/>
          <w:sz w:val="28"/>
          <w:szCs w:val="36"/>
          <w:lang w:val="en-US" w:eastAsia="zh-CN"/>
        </w:rPr>
        <w:t>截止2021年12月，172.05万元资金全部拨付并完成报账，剩余结余资金调项使用。</w:t>
      </w:r>
    </w:p>
    <w:p>
      <w:pPr>
        <w:keepNext w:val="0"/>
        <w:keepLines w:val="0"/>
        <w:pageBreakBefore w:val="0"/>
        <w:widowControl w:val="0"/>
        <w:numPr>
          <w:ilvl w:val="0"/>
          <w:numId w:val="4"/>
        </w:numPr>
        <w:kinsoku/>
        <w:wordWrap/>
        <w:overflowPunct/>
        <w:topLinePunct w:val="0"/>
        <w:autoSpaceDE/>
        <w:autoSpaceDN/>
        <w:bidi w:val="0"/>
        <w:adjustRightInd/>
        <w:snapToGrid/>
        <w:spacing w:line="576" w:lineRule="exact"/>
        <w:ind w:left="0" w:leftChars="0" w:firstLine="560" w:firstLineChars="200"/>
        <w:textAlignment w:val="auto"/>
        <w:rPr>
          <w:rFonts w:hint="default"/>
          <w:color w:val="auto"/>
          <w:sz w:val="28"/>
          <w:szCs w:val="36"/>
          <w:lang w:val="en-US" w:eastAsia="zh-CN"/>
        </w:rPr>
      </w:pPr>
      <w:r>
        <w:rPr>
          <w:rFonts w:hint="eastAsia"/>
          <w:color w:val="auto"/>
          <w:sz w:val="28"/>
          <w:szCs w:val="36"/>
          <w:lang w:val="en-US" w:eastAsia="zh-CN"/>
        </w:rPr>
        <w:t>项目资金管理情况分析</w:t>
      </w:r>
    </w:p>
    <w:p>
      <w:pPr>
        <w:keepNext w:val="0"/>
        <w:keepLines w:val="0"/>
        <w:widowControl/>
        <w:suppressLineNumbers w:val="0"/>
        <w:ind w:firstLine="560" w:firstLineChars="200"/>
        <w:jc w:val="left"/>
        <w:rPr>
          <w:rFonts w:hint="default"/>
          <w:color w:val="auto"/>
          <w:sz w:val="28"/>
          <w:szCs w:val="36"/>
          <w:lang w:val="en-US" w:eastAsia="zh-CN"/>
        </w:rPr>
      </w:pPr>
      <w:r>
        <w:rPr>
          <w:rFonts w:hint="eastAsia"/>
          <w:color w:val="auto"/>
          <w:sz w:val="28"/>
          <w:szCs w:val="36"/>
          <w:lang w:val="en-US" w:eastAsia="zh-CN"/>
        </w:rPr>
        <w:t>严格按照东西协作援助资金管理和使用办法要求对该项目财务管理进行专款专用。“雨露计划”补助经过精准识别、学籍审查、信息比对等项严格审核，确定补助对象信息在乡镇进行公开公示。</w:t>
      </w:r>
      <w:r>
        <w:rPr>
          <w:rFonts w:hint="default" w:ascii="Times New Roman" w:hAnsi="Times New Roman" w:eastAsia="宋体" w:cs="Times New Roman"/>
          <w:color w:val="000000"/>
          <w:kern w:val="0"/>
          <w:sz w:val="31"/>
          <w:szCs w:val="31"/>
          <w:lang w:val="en-US" w:eastAsia="zh-CN" w:bidi="ar"/>
        </w:rPr>
        <w:t>“</w:t>
      </w:r>
      <w:r>
        <w:rPr>
          <w:rFonts w:hint="eastAsia"/>
          <w:color w:val="auto"/>
          <w:sz w:val="28"/>
          <w:szCs w:val="36"/>
          <w:lang w:val="en-US" w:eastAsia="zh-CN"/>
        </w:rPr>
        <w:t>雨露计划</w:t>
      </w:r>
      <w:r>
        <w:rPr>
          <w:rFonts w:hint="default"/>
          <w:color w:val="auto"/>
          <w:sz w:val="28"/>
          <w:szCs w:val="36"/>
          <w:lang w:val="en-US" w:eastAsia="zh-CN"/>
        </w:rPr>
        <w:t>”</w:t>
      </w:r>
      <w:r>
        <w:rPr>
          <w:rFonts w:hint="eastAsia"/>
          <w:color w:val="auto"/>
          <w:sz w:val="28"/>
          <w:szCs w:val="36"/>
          <w:lang w:val="en-US" w:eastAsia="zh-CN"/>
        </w:rPr>
        <w:t>扶持政策与乡村振兴工作紧密衔接，支持农村贫困家庭子女接受职业教育，将补助资金通过惠民惠农</w:t>
      </w:r>
      <w:r>
        <w:rPr>
          <w:rFonts w:hint="default"/>
          <w:color w:val="auto"/>
          <w:sz w:val="28"/>
          <w:szCs w:val="36"/>
          <w:lang w:val="en-US" w:eastAsia="zh-CN"/>
        </w:rPr>
        <w:t>“</w:t>
      </w:r>
      <w:r>
        <w:rPr>
          <w:rFonts w:hint="eastAsia"/>
          <w:color w:val="auto"/>
          <w:sz w:val="28"/>
          <w:szCs w:val="36"/>
          <w:lang w:val="en-US" w:eastAsia="zh-CN"/>
        </w:rPr>
        <w:t>一卡（折）通</w:t>
      </w:r>
      <w:r>
        <w:rPr>
          <w:rFonts w:hint="default"/>
          <w:color w:val="auto"/>
          <w:sz w:val="28"/>
          <w:szCs w:val="36"/>
          <w:lang w:val="en-US" w:eastAsia="zh-CN"/>
        </w:rPr>
        <w:t>”</w:t>
      </w:r>
      <w:r>
        <w:rPr>
          <w:rFonts w:hint="eastAsia"/>
          <w:color w:val="auto"/>
          <w:sz w:val="28"/>
          <w:szCs w:val="36"/>
          <w:lang w:val="en-US" w:eastAsia="zh-CN"/>
        </w:rPr>
        <w:t>直接发 放到户，做到应补尽补。</w:t>
      </w:r>
      <w:r>
        <w:rPr>
          <w:rFonts w:hint="eastAsia" w:ascii="仿宋_GB2312" w:hAnsi="宋体" w:eastAsia="仿宋_GB2312" w:cs="仿宋_GB2312"/>
          <w:color w:val="000000"/>
          <w:kern w:val="0"/>
          <w:sz w:val="31"/>
          <w:szCs w:val="31"/>
          <w:lang w:val="en-US" w:eastAsia="zh-CN" w:bidi="ar"/>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576" w:lineRule="exact"/>
        <w:ind w:left="0" w:leftChars="0" w:firstLine="560" w:firstLineChars="200"/>
        <w:textAlignment w:val="auto"/>
        <w:rPr>
          <w:rFonts w:hint="eastAsia"/>
          <w:color w:val="auto"/>
          <w:sz w:val="28"/>
          <w:szCs w:val="36"/>
          <w:lang w:val="en-US" w:eastAsia="zh-CN"/>
        </w:rPr>
      </w:pPr>
      <w:r>
        <w:rPr>
          <w:rFonts w:hint="eastAsia"/>
          <w:color w:val="auto"/>
          <w:sz w:val="28"/>
          <w:szCs w:val="36"/>
          <w:lang w:val="en-US" w:eastAsia="zh-CN"/>
        </w:rPr>
        <w:t>绩效目标完成情况分析</w:t>
      </w:r>
    </w:p>
    <w:p>
      <w:pPr>
        <w:keepNext w:val="0"/>
        <w:keepLines w:val="0"/>
        <w:pageBreakBefore w:val="0"/>
        <w:widowControl w:val="0"/>
        <w:numPr>
          <w:ilvl w:val="0"/>
          <w:numId w:val="5"/>
        </w:numPr>
        <w:kinsoku/>
        <w:wordWrap/>
        <w:overflowPunct/>
        <w:topLinePunct w:val="0"/>
        <w:autoSpaceDE/>
        <w:autoSpaceDN/>
        <w:bidi w:val="0"/>
        <w:adjustRightInd/>
        <w:snapToGrid/>
        <w:spacing w:line="576" w:lineRule="exact"/>
        <w:ind w:leftChars="0" w:firstLine="560" w:firstLineChars="200"/>
        <w:textAlignment w:val="auto"/>
        <w:rPr>
          <w:rFonts w:hint="eastAsia"/>
          <w:color w:val="auto"/>
          <w:sz w:val="28"/>
          <w:szCs w:val="36"/>
          <w:lang w:val="en-US" w:eastAsia="zh-CN"/>
        </w:rPr>
      </w:pPr>
      <w:r>
        <w:rPr>
          <w:rFonts w:hint="eastAsia"/>
          <w:color w:val="auto"/>
          <w:sz w:val="28"/>
          <w:szCs w:val="36"/>
          <w:lang w:val="en-US" w:eastAsia="zh-CN"/>
        </w:rPr>
        <w:t>产出指标完成情况分析</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560" w:firstLineChars="200"/>
        <w:textAlignment w:val="auto"/>
        <w:rPr>
          <w:rFonts w:hint="default"/>
          <w:color w:val="auto"/>
          <w:sz w:val="28"/>
          <w:szCs w:val="36"/>
          <w:lang w:val="en-US" w:eastAsia="zh-CN"/>
        </w:rPr>
      </w:pPr>
      <w:r>
        <w:rPr>
          <w:rFonts w:hint="eastAsia"/>
          <w:color w:val="auto"/>
          <w:sz w:val="28"/>
          <w:szCs w:val="36"/>
          <w:lang w:val="en-US" w:eastAsia="zh-CN"/>
        </w:rPr>
        <w:t>2021年“雨露计划”补助1147人次，共计172.05万元。涉及全县24个乡镇，其中百和乡37人，共计5.55万元；北岭乡37人，共计5.55万元；春台乡17人，共计2.55万元；达板镇214人，共计32.1万元；大树乡25人，共计3.75万元；东塬乡42人，共计6.3万元；董岭乡21人，共计3.15万元；果园镇18人，共计2.7万元；风山乡24人，共计3.6万元；高山乡27人，共计4.05万元；关卜乡14人，共计2.1万元；河滩镇248人，共计37.2万元；考勒乡2人，共计0.3万元；柳树乡15人，2.25万元；龙泉镇65人，共计9.75万元；那勒寺镇38人，共计5.7万元；锁南镇51人，共计7.65万元；唐汪镇115人，共计17.25万元；汪集镇30人，共计4.5万元；五家乡25人，共计3.75万元；沿岭乡14人，共计2.1万元；赵家乡9人，共计1.35万元。补助资金由财政局代发户拨入补助对象一卡通账户。</w:t>
      </w:r>
    </w:p>
    <w:p>
      <w:pPr>
        <w:keepNext w:val="0"/>
        <w:keepLines w:val="0"/>
        <w:pageBreakBefore w:val="0"/>
        <w:widowControl w:val="0"/>
        <w:numPr>
          <w:ilvl w:val="0"/>
          <w:numId w:val="5"/>
        </w:numPr>
        <w:kinsoku/>
        <w:wordWrap/>
        <w:overflowPunct/>
        <w:topLinePunct w:val="0"/>
        <w:autoSpaceDE/>
        <w:autoSpaceDN/>
        <w:bidi w:val="0"/>
        <w:adjustRightInd/>
        <w:snapToGrid/>
        <w:spacing w:line="576" w:lineRule="exact"/>
        <w:ind w:left="0" w:leftChars="0" w:firstLine="560" w:firstLineChars="200"/>
        <w:textAlignment w:val="auto"/>
        <w:rPr>
          <w:rFonts w:hint="eastAsia"/>
          <w:color w:val="auto"/>
          <w:sz w:val="28"/>
          <w:szCs w:val="36"/>
          <w:lang w:val="en-US" w:eastAsia="zh-CN"/>
        </w:rPr>
      </w:pPr>
      <w:r>
        <w:rPr>
          <w:rFonts w:hint="eastAsia"/>
          <w:color w:val="auto"/>
          <w:sz w:val="28"/>
          <w:szCs w:val="36"/>
          <w:lang w:val="en-US" w:eastAsia="zh-CN"/>
        </w:rPr>
        <w:t>效益指标完成情况</w:t>
      </w:r>
    </w:p>
    <w:p>
      <w:pPr>
        <w:keepLines w:val="0"/>
        <w:pageBreakBefore w:val="0"/>
        <w:widowControl w:val="0"/>
        <w:kinsoku/>
        <w:wordWrap/>
        <w:overflowPunct/>
        <w:bidi w:val="0"/>
        <w:adjustRightInd/>
        <w:snapToGrid/>
        <w:spacing w:before="120" w:beforeLines="50" w:after="120" w:afterLines="50" w:line="576" w:lineRule="exact"/>
        <w:ind w:right="0" w:rightChars="0" w:firstLine="560" w:firstLineChars="200"/>
        <w:textAlignment w:val="auto"/>
        <w:rPr>
          <w:rFonts w:hint="eastAsia"/>
          <w:color w:val="auto"/>
          <w:sz w:val="28"/>
          <w:szCs w:val="36"/>
          <w:lang w:val="en-US" w:eastAsia="zh-CN"/>
        </w:rPr>
      </w:pPr>
      <w:r>
        <w:rPr>
          <w:rFonts w:hint="eastAsia"/>
          <w:color w:val="auto"/>
          <w:sz w:val="28"/>
          <w:szCs w:val="36"/>
          <w:lang w:val="en-US" w:eastAsia="zh-CN"/>
        </w:rPr>
        <w:t>对整个项目工作的成果认真分析对比，项目实施达到预期的工作成果，实现预期工作目标。</w:t>
      </w:r>
    </w:p>
    <w:p>
      <w:pPr>
        <w:keepLines w:val="0"/>
        <w:pageBreakBefore w:val="0"/>
        <w:widowControl w:val="0"/>
        <w:kinsoku/>
        <w:wordWrap/>
        <w:overflowPunct/>
        <w:topLinePunct/>
        <w:autoSpaceDE w:val="0"/>
        <w:autoSpaceDN w:val="0"/>
        <w:bidi w:val="0"/>
        <w:adjustRightInd/>
        <w:snapToGrid/>
        <w:spacing w:before="120" w:beforeLines="50" w:after="120" w:afterLines="50" w:line="576" w:lineRule="exact"/>
        <w:ind w:right="0" w:rightChars="0" w:firstLine="560" w:firstLineChars="200"/>
        <w:textAlignment w:val="auto"/>
        <w:rPr>
          <w:rFonts w:hint="eastAsia"/>
          <w:color w:val="auto"/>
          <w:sz w:val="28"/>
          <w:szCs w:val="36"/>
          <w:lang w:val="en-US" w:eastAsia="zh-CN"/>
        </w:rPr>
      </w:pPr>
      <w:r>
        <w:rPr>
          <w:rFonts w:hint="eastAsia"/>
          <w:color w:val="auto"/>
          <w:sz w:val="28"/>
          <w:szCs w:val="36"/>
          <w:lang w:val="en-US" w:eastAsia="zh-CN"/>
        </w:rPr>
        <w:t>社会效益：整个项目的实施，符合国家教育帮扶政策，确保实现精准帮扶目标要求。把“雨露计划”支持农村贪困家庭新成长劳动力接受职业教育作为精准帮扶的一项硬任务，统筹发挥政府、市场和社会的协同推进作用，坚持就业导向，提供政策支持，引导农村贫困家庭新成长劳动力接受职业教育，提素质、学技能，稳就业、増收入，阻断贫困代际传递。</w:t>
      </w:r>
    </w:p>
    <w:p>
      <w:pPr>
        <w:keepNext w:val="0"/>
        <w:keepLines w:val="0"/>
        <w:pageBreakBefore w:val="0"/>
        <w:widowControl w:val="0"/>
        <w:numPr>
          <w:ilvl w:val="0"/>
          <w:numId w:val="5"/>
        </w:numPr>
        <w:kinsoku/>
        <w:wordWrap/>
        <w:overflowPunct/>
        <w:topLinePunct w:val="0"/>
        <w:autoSpaceDE/>
        <w:autoSpaceDN/>
        <w:bidi w:val="0"/>
        <w:adjustRightInd/>
        <w:snapToGrid/>
        <w:spacing w:line="576" w:lineRule="atLeast"/>
        <w:ind w:left="0" w:leftChars="0" w:firstLine="560" w:firstLineChars="200"/>
        <w:textAlignment w:val="auto"/>
        <w:rPr>
          <w:rFonts w:hint="eastAsia"/>
          <w:color w:val="auto"/>
          <w:sz w:val="28"/>
          <w:szCs w:val="36"/>
          <w:lang w:val="en-US" w:eastAsia="zh-CN"/>
        </w:rPr>
      </w:pPr>
      <w:r>
        <w:rPr>
          <w:rFonts w:hint="eastAsia"/>
          <w:color w:val="auto"/>
          <w:sz w:val="28"/>
          <w:szCs w:val="36"/>
          <w:lang w:val="en-US" w:eastAsia="zh-CN"/>
        </w:rPr>
        <w:t>满意度指标完成情况分析</w:t>
      </w:r>
    </w:p>
    <w:p>
      <w:pPr>
        <w:keepNext w:val="0"/>
        <w:keepLines w:val="0"/>
        <w:pageBreakBefore w:val="0"/>
        <w:widowControl/>
        <w:suppressLineNumbers w:val="0"/>
        <w:kinsoku/>
        <w:wordWrap/>
        <w:overflowPunct/>
        <w:topLinePunct w:val="0"/>
        <w:autoSpaceDE/>
        <w:autoSpaceDN/>
        <w:bidi w:val="0"/>
        <w:adjustRightInd/>
        <w:snapToGrid/>
        <w:spacing w:line="576" w:lineRule="atLeast"/>
        <w:ind w:firstLine="560" w:firstLineChars="200"/>
        <w:jc w:val="left"/>
        <w:textAlignment w:val="auto"/>
        <w:rPr>
          <w:rFonts w:hint="eastAsia"/>
          <w:color w:val="auto"/>
          <w:sz w:val="28"/>
          <w:szCs w:val="36"/>
          <w:lang w:val="en-US" w:eastAsia="zh-CN"/>
        </w:rPr>
      </w:pPr>
      <w:r>
        <w:rPr>
          <w:rFonts w:hint="eastAsia"/>
          <w:color w:val="auto"/>
          <w:sz w:val="28"/>
          <w:szCs w:val="36"/>
          <w:lang w:val="en-US" w:eastAsia="zh-CN"/>
        </w:rPr>
        <w:t>贫困户“雨露计划”通过政策扶持，逐步提高农村贫困家庭子女初、高中毕业后接受中、高等职业教育的比例，确保每个有意愿的贫困家庭新成长劳动力学会一项实用技能，就业创业能力得到提升，家庭工资性收入占比显著提高，实现一人长期就业，全家稳定巩固脱贫的目标。资金拨付完成后，在</w:t>
      </w:r>
      <w:r>
        <w:rPr>
          <w:rFonts w:hint="default"/>
          <w:color w:val="auto"/>
          <w:sz w:val="28"/>
          <w:szCs w:val="36"/>
          <w:lang w:val="en-US" w:eastAsia="zh-CN"/>
        </w:rPr>
        <w:t>“</w:t>
      </w:r>
      <w:r>
        <w:rPr>
          <w:rFonts w:hint="eastAsia"/>
          <w:color w:val="auto"/>
          <w:sz w:val="28"/>
          <w:szCs w:val="36"/>
          <w:lang w:val="en-US" w:eastAsia="zh-CN"/>
        </w:rPr>
        <w:t>全国扶贫开发信息系统</w:t>
      </w:r>
      <w:r>
        <w:rPr>
          <w:rFonts w:hint="default"/>
          <w:color w:val="auto"/>
          <w:sz w:val="28"/>
          <w:szCs w:val="36"/>
          <w:lang w:val="en-US" w:eastAsia="zh-CN"/>
        </w:rPr>
        <w:t>”</w:t>
      </w:r>
      <w:r>
        <w:rPr>
          <w:rFonts w:hint="eastAsia"/>
          <w:color w:val="auto"/>
          <w:sz w:val="28"/>
          <w:szCs w:val="36"/>
          <w:lang w:val="en-US" w:eastAsia="zh-CN"/>
        </w:rPr>
        <w:t>的</w:t>
      </w:r>
      <w:r>
        <w:rPr>
          <w:rFonts w:hint="default"/>
          <w:color w:val="auto"/>
          <w:sz w:val="28"/>
          <w:szCs w:val="36"/>
          <w:lang w:val="en-US" w:eastAsia="zh-CN"/>
        </w:rPr>
        <w:t>“</w:t>
      </w:r>
      <w:r>
        <w:rPr>
          <w:rFonts w:hint="eastAsia"/>
          <w:color w:val="auto"/>
          <w:sz w:val="28"/>
          <w:szCs w:val="36"/>
          <w:lang w:val="en-US" w:eastAsia="zh-CN"/>
        </w:rPr>
        <w:t>扶贫项目管理</w:t>
      </w:r>
      <w:r>
        <w:rPr>
          <w:rFonts w:hint="default"/>
          <w:color w:val="auto"/>
          <w:sz w:val="28"/>
          <w:szCs w:val="36"/>
          <w:lang w:val="en-US" w:eastAsia="zh-CN"/>
        </w:rPr>
        <w:t>”</w:t>
      </w:r>
      <w:r>
        <w:rPr>
          <w:rFonts w:hint="eastAsia"/>
          <w:color w:val="auto"/>
          <w:sz w:val="28"/>
          <w:szCs w:val="36"/>
          <w:lang w:val="en-US" w:eastAsia="zh-CN"/>
        </w:rPr>
        <w:t>模块中，将已经获得</w:t>
      </w:r>
      <w:r>
        <w:rPr>
          <w:rFonts w:hint="default"/>
          <w:color w:val="auto"/>
          <w:sz w:val="28"/>
          <w:szCs w:val="36"/>
          <w:lang w:val="en-US" w:eastAsia="zh-CN"/>
        </w:rPr>
        <w:t>“</w:t>
      </w:r>
      <w:r>
        <w:rPr>
          <w:rFonts w:hint="eastAsia"/>
          <w:color w:val="auto"/>
          <w:sz w:val="28"/>
          <w:szCs w:val="36"/>
          <w:lang w:val="en-US" w:eastAsia="zh-CN"/>
        </w:rPr>
        <w:t>雨露计划</w:t>
      </w:r>
      <w:r>
        <w:rPr>
          <w:rFonts w:hint="default"/>
          <w:color w:val="auto"/>
          <w:sz w:val="28"/>
          <w:szCs w:val="36"/>
          <w:lang w:val="en-US" w:eastAsia="zh-CN"/>
        </w:rPr>
        <w:t>”</w:t>
      </w:r>
      <w:r>
        <w:rPr>
          <w:rFonts w:hint="eastAsia"/>
          <w:color w:val="auto"/>
          <w:sz w:val="28"/>
          <w:szCs w:val="36"/>
          <w:lang w:val="en-US" w:eastAsia="zh-CN"/>
        </w:rPr>
        <w:t>职业教育补助的贫困家庭和贫困学生与该项目相关联，实现</w:t>
      </w:r>
      <w:r>
        <w:rPr>
          <w:rFonts w:hint="default"/>
          <w:color w:val="auto"/>
          <w:sz w:val="28"/>
          <w:szCs w:val="36"/>
          <w:lang w:val="en-US" w:eastAsia="zh-CN"/>
        </w:rPr>
        <w:t>“</w:t>
      </w:r>
      <w:r>
        <w:rPr>
          <w:rFonts w:hint="eastAsia"/>
          <w:color w:val="auto"/>
          <w:sz w:val="28"/>
          <w:szCs w:val="36"/>
          <w:lang w:val="en-US" w:eastAsia="zh-CN"/>
        </w:rPr>
        <w:t>雨露计划</w:t>
      </w:r>
      <w:r>
        <w:rPr>
          <w:rFonts w:hint="default"/>
          <w:color w:val="auto"/>
          <w:sz w:val="28"/>
          <w:szCs w:val="36"/>
          <w:lang w:val="en-US" w:eastAsia="zh-CN"/>
        </w:rPr>
        <w:t xml:space="preserve">” </w:t>
      </w:r>
      <w:r>
        <w:rPr>
          <w:rFonts w:hint="eastAsia"/>
          <w:color w:val="auto"/>
          <w:sz w:val="28"/>
          <w:szCs w:val="36"/>
          <w:lang w:val="en-US" w:eastAsia="zh-CN"/>
        </w:rPr>
        <w:t xml:space="preserve">项目实施情况的查询统计。 </w:t>
      </w:r>
    </w:p>
    <w:p>
      <w:pPr>
        <w:keepNext w:val="0"/>
        <w:keepLines w:val="0"/>
        <w:pageBreakBefore w:val="0"/>
        <w:widowControl/>
        <w:suppressLineNumbers w:val="0"/>
        <w:kinsoku/>
        <w:wordWrap/>
        <w:overflowPunct/>
        <w:topLinePunct w:val="0"/>
        <w:autoSpaceDE/>
        <w:autoSpaceDN/>
        <w:bidi w:val="0"/>
        <w:adjustRightInd/>
        <w:snapToGrid/>
        <w:spacing w:line="576" w:lineRule="atLeast"/>
        <w:ind w:firstLine="560" w:firstLineChars="200"/>
        <w:jc w:val="left"/>
        <w:textAlignment w:val="auto"/>
        <w:rPr>
          <w:rFonts w:hint="eastAsia"/>
          <w:color w:val="auto"/>
          <w:sz w:val="28"/>
          <w:szCs w:val="36"/>
          <w:lang w:val="en-US" w:eastAsia="zh-CN"/>
        </w:rPr>
      </w:pPr>
      <w:r>
        <w:rPr>
          <w:rFonts w:hint="eastAsia"/>
          <w:color w:val="auto"/>
          <w:sz w:val="28"/>
          <w:szCs w:val="36"/>
          <w:lang w:val="en-US" w:eastAsia="zh-CN"/>
        </w:rPr>
        <w:t>四、偏离绩效目标的原因和下一步改进措施</w:t>
      </w:r>
    </w:p>
    <w:p>
      <w:pPr>
        <w:keepNext w:val="0"/>
        <w:keepLines w:val="0"/>
        <w:pageBreakBefore w:val="0"/>
        <w:widowControl w:val="0"/>
        <w:kinsoku/>
        <w:wordWrap/>
        <w:overflowPunct/>
        <w:topLinePunct/>
        <w:autoSpaceDE w:val="0"/>
        <w:autoSpaceDN w:val="0"/>
        <w:bidi w:val="0"/>
        <w:adjustRightInd/>
        <w:snapToGrid/>
        <w:spacing w:before="120" w:beforeLines="50" w:after="120" w:afterLines="50" w:line="576" w:lineRule="atLeast"/>
        <w:ind w:right="0" w:rightChars="0" w:firstLine="560" w:firstLineChars="200"/>
        <w:textAlignment w:val="auto"/>
        <w:rPr>
          <w:rFonts w:hint="eastAsia"/>
          <w:color w:val="auto"/>
          <w:sz w:val="28"/>
          <w:szCs w:val="36"/>
          <w:lang w:val="en-US" w:eastAsia="zh-CN"/>
        </w:rPr>
      </w:pPr>
      <w:r>
        <w:rPr>
          <w:rFonts w:hint="eastAsia"/>
          <w:color w:val="auto"/>
          <w:sz w:val="28"/>
          <w:szCs w:val="36"/>
          <w:lang w:val="en-US" w:eastAsia="zh-CN"/>
        </w:rPr>
        <w:t>还存在工作进展不均衡，精准性有待进一步聚焦，补助发放有待进一步加快等间题。</w:t>
      </w:r>
    </w:p>
    <w:p>
      <w:pPr>
        <w:keepNext w:val="0"/>
        <w:keepLines w:val="0"/>
        <w:pageBreakBefore w:val="0"/>
        <w:widowControl w:val="0"/>
        <w:kinsoku/>
        <w:wordWrap/>
        <w:overflowPunct/>
        <w:topLinePunct/>
        <w:autoSpaceDE w:val="0"/>
        <w:autoSpaceDN w:val="0"/>
        <w:bidi w:val="0"/>
        <w:adjustRightInd/>
        <w:snapToGrid/>
        <w:spacing w:before="120" w:beforeLines="50" w:after="120" w:afterLines="50" w:line="576" w:lineRule="atLeast"/>
        <w:ind w:right="0" w:rightChars="0" w:firstLine="560" w:firstLineChars="200"/>
        <w:textAlignment w:val="auto"/>
        <w:rPr>
          <w:rFonts w:hint="eastAsia"/>
          <w:color w:val="auto"/>
          <w:sz w:val="28"/>
          <w:szCs w:val="36"/>
          <w:lang w:val="en-US" w:eastAsia="zh-CN"/>
        </w:rPr>
      </w:pPr>
      <w:r>
        <w:rPr>
          <w:rFonts w:hint="eastAsia"/>
          <w:color w:val="auto"/>
          <w:sz w:val="28"/>
          <w:szCs w:val="36"/>
          <w:lang w:val="en-US" w:eastAsia="zh-CN"/>
        </w:rPr>
        <w:t>原因分析：一是重视程度不高。学生比对、补助发放进度缓慢，补助发放有遗漏。二是政策宣传不到位。培训基地和学校普遍重视技能培训，忽视相关惠农政策的宣传。宣传雨露计划补助政策不够，造成部分符合对象的学生及家长对政策不了解，不知情。</w:t>
      </w:r>
    </w:p>
    <w:p>
      <w:pPr>
        <w:keepLines w:val="0"/>
        <w:pageBreakBefore w:val="0"/>
        <w:widowControl w:val="0"/>
        <w:kinsoku/>
        <w:wordWrap/>
        <w:overflowPunct/>
        <w:topLinePunct/>
        <w:autoSpaceDE w:val="0"/>
        <w:autoSpaceDN w:val="0"/>
        <w:bidi w:val="0"/>
        <w:adjustRightInd/>
        <w:snapToGrid/>
        <w:spacing w:before="120" w:beforeLines="50" w:after="120" w:afterLines="50" w:line="576" w:lineRule="exact"/>
        <w:ind w:right="0" w:rightChars="0" w:firstLine="560" w:firstLineChars="200"/>
        <w:textAlignment w:val="auto"/>
        <w:rPr>
          <w:rFonts w:hint="eastAsia"/>
          <w:color w:val="auto"/>
          <w:sz w:val="28"/>
          <w:szCs w:val="36"/>
          <w:lang w:val="en-US" w:eastAsia="zh-CN"/>
        </w:rPr>
      </w:pPr>
      <w:r>
        <w:rPr>
          <w:rFonts w:hint="eastAsia"/>
          <w:color w:val="auto"/>
          <w:sz w:val="28"/>
          <w:szCs w:val="36"/>
          <w:lang w:val="en-US" w:eastAsia="zh-CN"/>
        </w:rPr>
        <w:t xml:space="preserve"> 改进措施：</w:t>
      </w:r>
    </w:p>
    <w:p>
      <w:pPr>
        <w:keepLines w:val="0"/>
        <w:pageBreakBefore w:val="0"/>
        <w:widowControl w:val="0"/>
        <w:kinsoku/>
        <w:wordWrap/>
        <w:overflowPunct/>
        <w:topLinePunct/>
        <w:autoSpaceDE w:val="0"/>
        <w:autoSpaceDN w:val="0"/>
        <w:bidi w:val="0"/>
        <w:adjustRightInd/>
        <w:snapToGrid/>
        <w:spacing w:before="120" w:beforeLines="50" w:after="120" w:afterLines="50" w:line="576" w:lineRule="exact"/>
        <w:ind w:right="0" w:rightChars="0" w:firstLine="560" w:firstLineChars="200"/>
        <w:textAlignment w:val="auto"/>
        <w:rPr>
          <w:rFonts w:hint="eastAsia"/>
          <w:color w:val="auto"/>
          <w:sz w:val="28"/>
          <w:szCs w:val="36"/>
          <w:lang w:val="en-US" w:eastAsia="zh-CN"/>
        </w:rPr>
      </w:pPr>
      <w:r>
        <w:rPr>
          <w:rFonts w:hint="eastAsia"/>
          <w:color w:val="auto"/>
          <w:sz w:val="28"/>
          <w:szCs w:val="36"/>
          <w:lang w:val="en-US" w:eastAsia="zh-CN"/>
        </w:rPr>
        <w:t>（一）提高思想认识，帮助就业。要根据全国贫困劳动力稳定就业视频会议要求，积极配合人社部门帮助贫困</w:t>
      </w:r>
      <w:bookmarkStart w:id="0" w:name="_GoBack"/>
      <w:bookmarkEnd w:id="0"/>
      <w:r>
        <w:rPr>
          <w:rFonts w:hint="eastAsia"/>
          <w:color w:val="auto"/>
          <w:sz w:val="28"/>
          <w:szCs w:val="36"/>
          <w:lang w:val="en-US" w:eastAsia="zh-CN"/>
        </w:rPr>
        <w:t>家庭“两后生”就业。一方面，要广泛効员一批发展良好、社会公信力高的企业，提供一批优质岗位，在职业院校开展专项招聘。另一方面，要用好信息化手段，发挥互联网招聘平合作用，积极引导、组织和应运“线上”平合为贪因家庭毕业生提供就业推荐、就业指导和就业帮扶。</w:t>
      </w:r>
    </w:p>
    <w:p>
      <w:pPr>
        <w:keepLines w:val="0"/>
        <w:pageBreakBefore w:val="0"/>
        <w:widowControl w:val="0"/>
        <w:kinsoku/>
        <w:wordWrap/>
        <w:overflowPunct/>
        <w:topLinePunct/>
        <w:autoSpaceDE w:val="0"/>
        <w:autoSpaceDN w:val="0"/>
        <w:bidi w:val="0"/>
        <w:adjustRightInd/>
        <w:snapToGrid/>
        <w:spacing w:before="120" w:beforeLines="50" w:after="120" w:afterLines="50" w:line="576" w:lineRule="exact"/>
        <w:ind w:right="0" w:rightChars="0" w:firstLine="560" w:firstLineChars="200"/>
        <w:textAlignment w:val="auto"/>
        <w:rPr>
          <w:rFonts w:hint="eastAsia"/>
          <w:color w:val="auto"/>
          <w:sz w:val="28"/>
          <w:szCs w:val="36"/>
          <w:lang w:val="en-US" w:eastAsia="zh-CN"/>
        </w:rPr>
      </w:pPr>
      <w:r>
        <w:rPr>
          <w:rFonts w:hint="eastAsia"/>
          <w:color w:val="auto"/>
          <w:sz w:val="28"/>
          <w:szCs w:val="36"/>
          <w:lang w:val="en-US" w:eastAsia="zh-CN"/>
        </w:rPr>
        <w:t>（二）加大宣传。培训学校和各乡镇以及驻村队要加大政策宣传力度，采取印发宣传册、手机APP、电视合、简报、QQ工作群、微信平合、在自然村张贴纸质公告等方式，对“兩露计划”政策进行广泛宣传，不斷提高贫困群众对“雨露计划”补助政策的知晓率。</w:t>
      </w:r>
    </w:p>
    <w:p>
      <w:pPr>
        <w:keepLines w:val="0"/>
        <w:pageBreakBefore w:val="0"/>
        <w:widowControl w:val="0"/>
        <w:kinsoku/>
        <w:wordWrap/>
        <w:overflowPunct/>
        <w:topLinePunct/>
        <w:autoSpaceDE w:val="0"/>
        <w:autoSpaceDN w:val="0"/>
        <w:bidi w:val="0"/>
        <w:adjustRightInd/>
        <w:snapToGrid/>
        <w:spacing w:before="120" w:beforeLines="50" w:after="120" w:afterLines="50" w:line="576" w:lineRule="exact"/>
        <w:ind w:right="0" w:rightChars="0" w:firstLine="560" w:firstLineChars="200"/>
        <w:textAlignment w:val="auto"/>
        <w:rPr>
          <w:rFonts w:hint="eastAsia"/>
          <w:color w:val="auto"/>
          <w:sz w:val="28"/>
          <w:szCs w:val="36"/>
          <w:lang w:val="en-US" w:eastAsia="zh-CN"/>
        </w:rPr>
      </w:pPr>
      <w:r>
        <w:rPr>
          <w:rFonts w:hint="eastAsia"/>
          <w:color w:val="auto"/>
          <w:sz w:val="28"/>
          <w:szCs w:val="36"/>
          <w:lang w:val="en-US" w:eastAsia="zh-CN"/>
        </w:rPr>
        <w:t>五、绩效自评结果拟应用和公开情况</w:t>
      </w:r>
    </w:p>
    <w:p>
      <w:pPr>
        <w:keepLines w:val="0"/>
        <w:pageBreakBefore w:val="0"/>
        <w:widowControl w:val="0"/>
        <w:kinsoku/>
        <w:wordWrap/>
        <w:overflowPunct/>
        <w:topLinePunct/>
        <w:autoSpaceDE w:val="0"/>
        <w:autoSpaceDN w:val="0"/>
        <w:bidi w:val="0"/>
        <w:adjustRightInd/>
        <w:snapToGrid/>
        <w:spacing w:before="120" w:beforeLines="50" w:after="120" w:afterLines="50" w:line="576" w:lineRule="exact"/>
        <w:ind w:right="0" w:rightChars="0" w:firstLine="560" w:firstLineChars="200"/>
        <w:textAlignment w:val="auto"/>
        <w:rPr>
          <w:rFonts w:hint="eastAsia"/>
          <w:color w:val="auto"/>
          <w:sz w:val="28"/>
          <w:szCs w:val="36"/>
          <w:lang w:val="en-US" w:eastAsia="zh-CN"/>
        </w:rPr>
      </w:pPr>
      <w:r>
        <w:rPr>
          <w:rFonts w:hint="eastAsia"/>
          <w:color w:val="auto"/>
          <w:sz w:val="28"/>
          <w:szCs w:val="36"/>
          <w:lang w:val="en-US" w:eastAsia="zh-CN"/>
        </w:rPr>
        <w:t>对贫困户“雨露计划”项目进行自评，高度重视绩效评价，确保项目顺利实施。做好包括年度方案、宣传资料、学籍就读证明、公示图片、补助学生花名册及资金发放汇总表等台账建设。</w:t>
      </w:r>
    </w:p>
    <w:p>
      <w:pPr>
        <w:keepLines w:val="0"/>
        <w:pageBreakBefore w:val="0"/>
        <w:widowControl w:val="0"/>
        <w:kinsoku/>
        <w:wordWrap/>
        <w:overflowPunct/>
        <w:topLinePunct/>
        <w:autoSpaceDE w:val="0"/>
        <w:autoSpaceDN w:val="0"/>
        <w:bidi w:val="0"/>
        <w:adjustRightInd/>
        <w:snapToGrid/>
        <w:spacing w:before="120" w:beforeLines="50" w:after="120" w:afterLines="50" w:line="576" w:lineRule="exact"/>
        <w:ind w:right="0" w:rightChars="0" w:firstLine="560" w:firstLineChars="200"/>
        <w:textAlignment w:val="auto"/>
        <w:rPr>
          <w:rFonts w:hint="eastAsia"/>
          <w:color w:val="auto"/>
          <w:sz w:val="28"/>
          <w:szCs w:val="36"/>
          <w:lang w:val="en-US" w:eastAsia="zh-CN"/>
        </w:rPr>
      </w:pPr>
    </w:p>
    <w:p>
      <w:pPr>
        <w:keepLines w:val="0"/>
        <w:pageBreakBefore w:val="0"/>
        <w:widowControl w:val="0"/>
        <w:kinsoku/>
        <w:wordWrap/>
        <w:overflowPunct/>
        <w:topLinePunct/>
        <w:autoSpaceDE w:val="0"/>
        <w:autoSpaceDN w:val="0"/>
        <w:bidi w:val="0"/>
        <w:adjustRightInd/>
        <w:snapToGrid/>
        <w:spacing w:before="120" w:beforeLines="50" w:after="120" w:afterLines="50" w:line="576" w:lineRule="exact"/>
        <w:ind w:right="0" w:rightChars="0" w:firstLine="560" w:firstLineChars="200"/>
        <w:textAlignment w:val="auto"/>
        <w:rPr>
          <w:rFonts w:hint="eastAsia"/>
          <w:color w:val="auto"/>
          <w:sz w:val="28"/>
          <w:szCs w:val="36"/>
          <w:lang w:val="en-US" w:eastAsia="zh-CN"/>
        </w:rPr>
      </w:pPr>
    </w:p>
    <w:p>
      <w:pPr>
        <w:keepLines w:val="0"/>
        <w:pageBreakBefore w:val="0"/>
        <w:widowControl w:val="0"/>
        <w:kinsoku/>
        <w:wordWrap/>
        <w:overflowPunct/>
        <w:topLinePunct/>
        <w:autoSpaceDE w:val="0"/>
        <w:autoSpaceDN w:val="0"/>
        <w:bidi w:val="0"/>
        <w:adjustRightInd/>
        <w:snapToGrid/>
        <w:spacing w:before="120" w:beforeLines="50" w:after="120" w:afterLines="50" w:line="576" w:lineRule="exact"/>
        <w:ind w:right="0" w:rightChars="0" w:firstLine="560" w:firstLineChars="200"/>
        <w:textAlignment w:val="auto"/>
        <w:rPr>
          <w:rFonts w:hint="eastAsia"/>
          <w:color w:val="auto"/>
          <w:sz w:val="28"/>
          <w:szCs w:val="36"/>
          <w:lang w:val="en-US" w:eastAsia="zh-CN"/>
        </w:rPr>
      </w:pPr>
    </w:p>
    <w:p>
      <w:pPr>
        <w:keepLines w:val="0"/>
        <w:pageBreakBefore w:val="0"/>
        <w:widowControl w:val="0"/>
        <w:kinsoku/>
        <w:wordWrap/>
        <w:overflowPunct/>
        <w:topLinePunct/>
        <w:autoSpaceDE w:val="0"/>
        <w:autoSpaceDN w:val="0"/>
        <w:bidi w:val="0"/>
        <w:adjustRightInd/>
        <w:snapToGrid/>
        <w:spacing w:before="120" w:beforeLines="50" w:after="120" w:afterLines="50" w:line="576" w:lineRule="exact"/>
        <w:ind w:right="0" w:rightChars="0" w:firstLine="560" w:firstLineChars="200"/>
        <w:textAlignment w:val="auto"/>
        <w:rPr>
          <w:rFonts w:hint="eastAsia"/>
          <w:color w:val="auto"/>
          <w:sz w:val="28"/>
          <w:szCs w:val="36"/>
          <w:lang w:val="en-US" w:eastAsia="zh-CN"/>
        </w:rPr>
      </w:pPr>
    </w:p>
    <w:p>
      <w:pPr>
        <w:keepLines w:val="0"/>
        <w:pageBreakBefore w:val="0"/>
        <w:widowControl w:val="0"/>
        <w:kinsoku/>
        <w:wordWrap/>
        <w:overflowPunct/>
        <w:topLinePunct/>
        <w:autoSpaceDE w:val="0"/>
        <w:autoSpaceDN w:val="0"/>
        <w:bidi w:val="0"/>
        <w:adjustRightInd/>
        <w:snapToGrid/>
        <w:spacing w:before="120" w:beforeLines="50" w:after="120" w:afterLines="50" w:line="576" w:lineRule="exact"/>
        <w:ind w:right="0" w:rightChars="0" w:firstLine="560" w:firstLineChars="200"/>
        <w:textAlignment w:val="auto"/>
        <w:rPr>
          <w:rFonts w:hint="eastAsia"/>
          <w:color w:val="auto"/>
          <w:sz w:val="28"/>
          <w:szCs w:val="36"/>
          <w:lang w:val="en-US" w:eastAsia="zh-CN"/>
        </w:rPr>
      </w:pPr>
    </w:p>
    <w:p>
      <w:pPr>
        <w:keepLines w:val="0"/>
        <w:pageBreakBefore w:val="0"/>
        <w:widowControl w:val="0"/>
        <w:kinsoku/>
        <w:wordWrap/>
        <w:overflowPunct/>
        <w:topLinePunct/>
        <w:autoSpaceDE w:val="0"/>
        <w:autoSpaceDN w:val="0"/>
        <w:bidi w:val="0"/>
        <w:adjustRightInd/>
        <w:snapToGrid/>
        <w:spacing w:before="120" w:beforeLines="50" w:after="120" w:afterLines="50" w:line="576" w:lineRule="exact"/>
        <w:ind w:right="0" w:rightChars="0" w:firstLine="560" w:firstLineChars="200"/>
        <w:textAlignment w:val="auto"/>
        <w:rPr>
          <w:rFonts w:hint="eastAsia"/>
          <w:color w:val="auto"/>
          <w:sz w:val="28"/>
          <w:szCs w:val="36"/>
          <w:lang w:val="en-US" w:eastAsia="zh-CN"/>
        </w:rPr>
      </w:pPr>
      <w:r>
        <w:rPr>
          <w:rFonts w:hint="eastAsia"/>
          <w:color w:val="auto"/>
          <w:sz w:val="28"/>
          <w:szCs w:val="36"/>
          <w:lang w:val="en-US" w:eastAsia="zh-CN"/>
        </w:rPr>
        <w:t xml:space="preserve">                            东乡县乡村振兴局</w:t>
      </w:r>
    </w:p>
    <w:p>
      <w:pPr>
        <w:keepLines w:val="0"/>
        <w:pageBreakBefore w:val="0"/>
        <w:widowControl w:val="0"/>
        <w:kinsoku/>
        <w:wordWrap/>
        <w:overflowPunct/>
        <w:topLinePunct/>
        <w:autoSpaceDE w:val="0"/>
        <w:autoSpaceDN w:val="0"/>
        <w:bidi w:val="0"/>
        <w:adjustRightInd/>
        <w:snapToGrid/>
        <w:spacing w:before="120" w:beforeLines="50" w:after="120" w:afterLines="50" w:line="576" w:lineRule="exact"/>
        <w:ind w:right="0" w:rightChars="0" w:firstLine="560" w:firstLineChars="200"/>
        <w:textAlignment w:val="auto"/>
        <w:rPr>
          <w:rFonts w:hint="eastAsia"/>
          <w:color w:val="auto"/>
          <w:sz w:val="28"/>
          <w:szCs w:val="36"/>
          <w:lang w:val="en-US" w:eastAsia="zh-CN"/>
        </w:rPr>
      </w:pPr>
      <w:r>
        <w:rPr>
          <w:rFonts w:hint="eastAsia"/>
          <w:color w:val="auto"/>
          <w:sz w:val="28"/>
          <w:szCs w:val="36"/>
          <w:lang w:val="en-US" w:eastAsia="zh-CN"/>
        </w:rPr>
        <w:t xml:space="preserve">                             </w:t>
      </w:r>
    </w:p>
    <w:p>
      <w:pPr>
        <w:keepLines w:val="0"/>
        <w:pageBreakBefore w:val="0"/>
        <w:widowControl w:val="0"/>
        <w:kinsoku/>
        <w:wordWrap/>
        <w:overflowPunct/>
        <w:topLinePunct/>
        <w:autoSpaceDE w:val="0"/>
        <w:autoSpaceDN w:val="0"/>
        <w:bidi w:val="0"/>
        <w:adjustRightInd/>
        <w:snapToGrid/>
        <w:spacing w:before="120" w:beforeLines="50" w:after="120" w:afterLines="50" w:line="576" w:lineRule="exact"/>
        <w:ind w:right="0" w:rightChars="0" w:firstLine="4760" w:firstLineChars="1700"/>
        <w:textAlignment w:val="auto"/>
        <w:rPr>
          <w:rFonts w:hint="default"/>
          <w:color w:val="auto"/>
          <w:sz w:val="28"/>
          <w:szCs w:val="36"/>
          <w:lang w:val="en-US" w:eastAsia="zh-CN"/>
        </w:rPr>
      </w:pPr>
      <w:r>
        <w:rPr>
          <w:rFonts w:hint="eastAsia"/>
          <w:color w:val="auto"/>
          <w:sz w:val="28"/>
          <w:szCs w:val="36"/>
          <w:lang w:val="en-US" w:eastAsia="zh-CN"/>
        </w:rPr>
        <w:t xml:space="preserve"> 2021年11月26日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AD828C"/>
    <w:multiLevelType w:val="singleLevel"/>
    <w:tmpl w:val="A6AD828C"/>
    <w:lvl w:ilvl="0" w:tentative="0">
      <w:start w:val="1"/>
      <w:numFmt w:val="chineseCounting"/>
      <w:suff w:val="nothing"/>
      <w:lvlText w:val="%1、"/>
      <w:lvlJc w:val="left"/>
      <w:rPr>
        <w:rFonts w:hint="eastAsia"/>
      </w:rPr>
    </w:lvl>
  </w:abstractNum>
  <w:abstractNum w:abstractNumId="1">
    <w:nsid w:val="ECFDF465"/>
    <w:multiLevelType w:val="singleLevel"/>
    <w:tmpl w:val="ECFDF465"/>
    <w:lvl w:ilvl="0" w:tentative="0">
      <w:start w:val="1"/>
      <w:numFmt w:val="decimal"/>
      <w:lvlText w:val="%1."/>
      <w:lvlJc w:val="left"/>
      <w:pPr>
        <w:tabs>
          <w:tab w:val="left" w:pos="312"/>
        </w:tabs>
      </w:pPr>
    </w:lvl>
  </w:abstractNum>
  <w:abstractNum w:abstractNumId="2">
    <w:nsid w:val="03C3137D"/>
    <w:multiLevelType w:val="singleLevel"/>
    <w:tmpl w:val="03C3137D"/>
    <w:lvl w:ilvl="0" w:tentative="0">
      <w:start w:val="1"/>
      <w:numFmt w:val="decimal"/>
      <w:lvlText w:val="%1."/>
      <w:lvlJc w:val="left"/>
      <w:pPr>
        <w:tabs>
          <w:tab w:val="left" w:pos="312"/>
        </w:tabs>
      </w:pPr>
    </w:lvl>
  </w:abstractNum>
  <w:abstractNum w:abstractNumId="3">
    <w:nsid w:val="04548E12"/>
    <w:multiLevelType w:val="singleLevel"/>
    <w:tmpl w:val="04548E12"/>
    <w:lvl w:ilvl="0" w:tentative="0">
      <w:start w:val="1"/>
      <w:numFmt w:val="chineseCounting"/>
      <w:suff w:val="nothing"/>
      <w:lvlText w:val="（%1）"/>
      <w:lvlJc w:val="left"/>
      <w:rPr>
        <w:rFonts w:hint="eastAsia"/>
      </w:rPr>
    </w:lvl>
  </w:abstractNum>
  <w:abstractNum w:abstractNumId="4">
    <w:nsid w:val="222D49D6"/>
    <w:multiLevelType w:val="singleLevel"/>
    <w:tmpl w:val="222D49D6"/>
    <w:lvl w:ilvl="0" w:tentative="0">
      <w:start w:val="2"/>
      <w:numFmt w:val="decimal"/>
      <w:lvlText w:val="%1."/>
      <w:lvlJc w:val="left"/>
      <w:pPr>
        <w:tabs>
          <w:tab w:val="left" w:pos="312"/>
        </w:tabs>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mZGFkNWE2MDdjMDEwNjBjY2MzODQwODYyMmRkNzUifQ=="/>
  </w:docVars>
  <w:rsids>
    <w:rsidRoot w:val="00000000"/>
    <w:rsid w:val="01854FB4"/>
    <w:rsid w:val="057B65FB"/>
    <w:rsid w:val="07391A54"/>
    <w:rsid w:val="0A9534EF"/>
    <w:rsid w:val="0D024C1D"/>
    <w:rsid w:val="13E10D6E"/>
    <w:rsid w:val="14DA2741"/>
    <w:rsid w:val="1AB11EFD"/>
    <w:rsid w:val="1C5164FB"/>
    <w:rsid w:val="1E263C3E"/>
    <w:rsid w:val="215176E8"/>
    <w:rsid w:val="25C10779"/>
    <w:rsid w:val="26BB396F"/>
    <w:rsid w:val="2A6B583B"/>
    <w:rsid w:val="2B7E4A45"/>
    <w:rsid w:val="2B8106A7"/>
    <w:rsid w:val="30B51B0E"/>
    <w:rsid w:val="319475C6"/>
    <w:rsid w:val="34ED5E2F"/>
    <w:rsid w:val="37D15826"/>
    <w:rsid w:val="3DB006F6"/>
    <w:rsid w:val="47C07F53"/>
    <w:rsid w:val="47EB6CD6"/>
    <w:rsid w:val="496D40C6"/>
    <w:rsid w:val="4B401BAF"/>
    <w:rsid w:val="4C05641D"/>
    <w:rsid w:val="4C0F6F3D"/>
    <w:rsid w:val="5371348D"/>
    <w:rsid w:val="54077685"/>
    <w:rsid w:val="5EFA3DA4"/>
    <w:rsid w:val="61950E06"/>
    <w:rsid w:val="63AF6914"/>
    <w:rsid w:val="6B2916B2"/>
    <w:rsid w:val="6FF91E61"/>
    <w:rsid w:val="73A44058"/>
    <w:rsid w:val="73C852CB"/>
    <w:rsid w:val="7BD47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Body Text Indent 2"/>
    <w:basedOn w:val="1"/>
    <w:autoRedefine/>
    <w:qFormat/>
    <w:uiPriority w:val="0"/>
    <w:pPr>
      <w:spacing w:after="120" w:line="480" w:lineRule="auto"/>
      <w:ind w:left="420" w:leftChars="20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强颜欢笑</cp:lastModifiedBy>
  <cp:lastPrinted>2019-11-26T02:17:00Z</cp:lastPrinted>
  <dcterms:modified xsi:type="dcterms:W3CDTF">2023-12-15T02:40:08Z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272287B2643349D799A73409ABA427DD</vt:lpwstr>
  </property>
</Properties>
</file>