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val="en-US" w:eastAsia="zh-CN"/>
        </w:rPr>
        <w:t>东乡族自治县乡村振兴局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bookmarkStart w:id="3" w:name="bookmark3"/>
      <w:r>
        <w:rPr>
          <w:rFonts w:hint="eastAsia" w:ascii="仿宋_GB2312" w:hAnsi="仿宋_GB2312" w:eastAsia="仿宋_GB2312" w:cs="仿宋_GB2312"/>
          <w:color w:val="000000"/>
          <w:spacing w:val="0"/>
          <w:w w:val="100"/>
          <w:position w:val="0"/>
          <w:sz w:val="32"/>
          <w:szCs w:val="32"/>
          <w:lang w:val="en-US" w:eastAsia="zh-CN"/>
        </w:rPr>
        <w:t>一</w:t>
      </w:r>
      <w:bookmarkEnd w:id="3"/>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lang w:val="en-US" w:eastAsia="zh-CN"/>
        </w:rPr>
        <w:tab/>
      </w:r>
      <w:r>
        <w:rPr>
          <w:rFonts w:hint="eastAsia" w:ascii="仿宋_GB2312" w:hAnsi="仿宋_GB2312" w:eastAsia="仿宋_GB2312" w:cs="仿宋_GB2312"/>
          <w:color w:val="000000"/>
          <w:spacing w:val="0"/>
          <w:w w:val="100"/>
          <w:position w:val="0"/>
          <w:sz w:val="32"/>
          <w:szCs w:val="32"/>
          <w:lang w:val="en-US" w:eastAsia="zh-CN"/>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第一条  根据中共临夏州委办公室、临夏州人民政府办公室《关于批转东乡族自治县机构改革方案的通知》（州委办发〔2019〕9号）和中共东乡县委办公室、东乡县人民政府办公室《关于贯彻落实&lt;东乡族自治县机构改革方案&gt;的实施意见》（县委办发〔2019〕13号），制定本规定。</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第二条  东乡族自治县乡村振兴局（简称乡村振兴局）是县政府工作部门，为正科级。</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第三条  东乡族自治县脱贫攻坚领导小组办公室（简称县脱贫办）设在乡村振兴局，接受县脱贫攻坚领导小组的直接领导，承担县脱贫领导小组具体工作，组织开展扶贫领域重大问题的政策研究，协调督促有关方面落实县脱贫攻坚领导小组决定事项、工作部署和要求等。负责处理县脱贫攻坚领导小组办公室日常事务。乡村振兴局的内设机构根据工作需要承担县脱贫攻坚领导小组办公室相关工作，接受县脱贫攻坚领导小组办公室的统筹协调。</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第四条  乡村振兴局是贯彻党中央、国务院、省州及县委关于扶贫开发工作的方针政策和决策部署，在履行职责过程中加强党对扶贫工作的集中统一领导。主要职责是：</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（一）认真贯彻执行党中央、国务院和省、州、县党委政府关于扶贫开发工作的方针、政策、措施，当好县委、县人民政府在扶贫开发工作中的参谋助手。</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（二）认真贯彻落实中央、省、州和县委、县政府关于精准扶贫精准脱贫工作的政策措施，研究拟定本县脱贫攻坚有关政策，提出本地区相应的实施办法，为县委、县政府决策提供依据。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（三）牵头组织脱贫攻坚的重要会议和重大活动，为扶贫开发工作提供政策、法规等方面的服务。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（四）制定扶贫开发中长期规划，编制扶贫开发年度计划，提出实施规划、计划的具体措施并组织落实；负责协调拨付财政扶贫资金及报账工作。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（五）负责扶贫项目论证、筛选、审查和汇总上报；负责对各项扶贫建设项目进展、资金使用情况跟踪检查。</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（六）配合审计、纪检监察部门加强对扶贫资金的落实和使用情况进行审计、监督和检查。</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（七）加强对全县扶贫开发的调查研究，及时了解存在的困难和问题，提出有针对性的措施和办法，为县委、县政府决策提供依据。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八）负责制定全县科技扶贫规划、计划；负责全县贫困乡村干部和农民适用技术能手的培训，搞好新技术、新产品和新成果的推广应用，负责搞好全县贫困状况的监测统计，并及时向县委、县政府和上级业务部门通报情况。</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（九）负责全县社会帮扶工作，加强对扶贫工作的宣传、协调，衔接省州有关部门及全县党政机关帮扶工作。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（十）加强机关党的建设和干部队伍建设，指导全县扶贫、农业综合开发等工作，建立上下一致，运转协调、廉洁高效的扶贫工作机制。</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（十二）承办县委、县政府及上级部门交办的其他工作。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第五条  职能调整。</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划入原县委农村工作办公室有关脱贫攻坚帮扶工作职责，增加管理全县帮扶工作力量和驻村帮扶工作职责，承担县脱贫帮扶工作协调领导小组办公室日常事务。乡村振兴局在脱贫攻坚帮扶方面的主要职责是：负责全县脱贫攻坚帮扶工作的统筹协调、指导服务和督查考核；负责全县驻村帮扶工作队的督查、考核、培训和表彰等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下设股室4个，分别是办公室（信息股）、帮扶办、计划统计股、社会帮扶股；另下属事业单位2个，分别是光伏扶贫工作服务中心及扶贫信息中心。</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0" w:firstLineChars="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2021年度收入总计1243844756.26元，支出总计1259127962.3元，与2020年决算数相比，收入减少486480595.5元，增长28.11%，支出减少455914183.5元，减少26.58%。主要原因是脱贫攻坚期后财政专项扶贫资金投入力度减小</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1243844756.26</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1162935266.79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93.5</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80909489.47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6.5</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1256482211.67</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8558152.71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0.68</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1247924058.96</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99.32</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1162935266.79</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减少385041542.1</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减少24.87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脱贫攻坚期后财政专项扶贫资金投入力度减小</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1162935266.79</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减少385041542.1</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减少24.87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脱贫攻坚期后财政专项扶贫资金投入力度减小</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年度一般公共预算财政拨款支出1162935266.79元，占本年支出的 100%，较上年决算数减少385041542.1元，减少24.87%。主要原因是脱贫攻坚期后财政专项扶贫资金投入力度减小。较年初预算数无变化。</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社会保障与就业支出577337.52元，占0.05%,较年初预算数无变化;</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卫生健康支出254706.84元，占0.02%,较年初预算数无变化；</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农林水支出1123954552.43元，占96.65%,较年初预算数无变化;</w:t>
      </w:r>
    </w:p>
    <w:p>
      <w:pPr>
        <w:pStyle w:val="14"/>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w:t>
      </w:r>
      <w:r>
        <w:rPr>
          <w:rFonts w:hint="eastAsia" w:ascii="仿宋_GB2312" w:hAnsi="仿宋_GB2312" w:eastAsia="仿宋_GB2312" w:cs="仿宋_GB2312"/>
          <w:color w:val="000000"/>
          <w:spacing w:val="0"/>
          <w:w w:val="100"/>
          <w:position w:val="0"/>
          <w:sz w:val="32"/>
          <w:szCs w:val="32"/>
          <w:lang w:val="en-US" w:eastAsia="zh-CN"/>
        </w:rPr>
        <w:t>38148670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3.28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8558152.71</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6059327.86</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1911351.44元，主要原因是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。人员经费用途主要包括基本工资</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津贴补贴</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奖金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机关事业单位基本养老保险缴费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职工基本医疗保险缴费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其他工资福利支出</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对个人和家庭的补助</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2498824.85</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减少5745801.42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委托业务费、印刷费等支出减少</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办公费、印刷费、水费、电费、邮电费、差旅费、维修（护）费、租赁费、劳务费、委托业务费、 工会经费、其他交通费用</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2498824.85</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eastAsia="zh-CN"/>
        </w:rPr>
        <w:t>办公费、印刷费、水费、电费、邮电费、差旅费、维修（护）费、租赁费、劳务费、委托业务费、工会经费、其他交通费用</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rPr>
        <w:t>减少5745801.42</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69.69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业务支出减少</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223000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223000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资金绩效评价服务</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w:t>
      </w:r>
      <w:r>
        <w:rPr>
          <w:rFonts w:hint="eastAsia" w:ascii="仿宋_GB2312" w:hAnsi="仿宋_GB2312" w:eastAsia="仿宋_GB2312" w:cs="仿宋_GB2312"/>
          <w:color w:val="000000"/>
          <w:spacing w:val="0"/>
          <w:w w:val="100"/>
          <w:position w:val="0"/>
          <w:sz w:val="32"/>
          <w:szCs w:val="32"/>
          <w:lang w:val="en-US" w:eastAsia="zh-CN"/>
        </w:rPr>
        <w:t>无支出</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color w:val="auto"/>
          <w:lang w:val="en-US" w:eastAsia="zh-CN"/>
        </w:rPr>
      </w:pPr>
      <w:r>
        <w:rPr>
          <w:rFonts w:hint="eastAsia"/>
          <w:color w:val="auto"/>
          <w:lang w:eastAsia="zh-CN"/>
        </w:rPr>
        <w:t>东乡县“</w:t>
      </w:r>
      <w:r>
        <w:rPr>
          <w:rFonts w:hint="eastAsia"/>
          <w:color w:val="auto"/>
          <w:lang w:val="en-US" w:eastAsia="zh-CN"/>
        </w:rPr>
        <w:t>雨露计划</w:t>
      </w:r>
      <w:r>
        <w:rPr>
          <w:rFonts w:hint="eastAsia"/>
          <w:color w:val="auto"/>
          <w:lang w:eastAsia="zh-CN"/>
        </w:rPr>
        <w:t>”</w:t>
      </w:r>
      <w:r>
        <w:rPr>
          <w:rFonts w:hint="eastAsia"/>
          <w:color w:val="auto"/>
          <w:lang w:val="en-US" w:eastAsia="zh-CN"/>
        </w:rPr>
        <w:t>补助2021年东西协作</w:t>
      </w: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color w:val="auto"/>
          <w:lang w:val="en-US" w:eastAsia="zh-CN"/>
        </w:rPr>
      </w:pPr>
      <w:r>
        <w:rPr>
          <w:rFonts w:hint="eastAsia"/>
          <w:color w:val="auto"/>
          <w:lang w:val="en-US" w:eastAsia="zh-CN"/>
        </w:rPr>
        <w:t>资金绩效自评总结报告</w:t>
      </w:r>
    </w:p>
    <w:p>
      <w:pPr>
        <w:keepNext w:val="0"/>
        <w:keepLines w:val="0"/>
        <w:pageBreakBefore w:val="0"/>
        <w:widowControl w:val="0"/>
        <w:kinsoku/>
        <w:wordWrap/>
        <w:overflowPunct/>
        <w:bidi w:val="0"/>
        <w:adjustRightInd/>
        <w:snapToGrid/>
        <w:spacing w:line="360" w:lineRule="auto"/>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县乡村振兴领导小组办公室：</w:t>
      </w:r>
    </w:p>
    <w:p>
      <w:pPr>
        <w:keepNext w:val="0"/>
        <w:keepLines w:val="0"/>
        <w:pageBreakBefore w:val="0"/>
        <w:widowControl w:val="0"/>
        <w:kinsoku/>
        <w:wordWrap/>
        <w:overflowPunct/>
        <w:bidi w:val="0"/>
        <w:adjustRightInd/>
        <w:snapToGrid/>
        <w:spacing w:line="360" w:lineRule="auto"/>
        <w:ind w:firstLine="640" w:firstLineChars="200"/>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根据东乡县乡村振兴领导小组办公室关于对全县东西协作援助资金绩效管理工作进行自查自评的通知，现将东乡县2021年东西协作援助资金中对“雨露计划”培训项目下达的180万元资金自评情况汇报如下：</w:t>
      </w:r>
    </w:p>
    <w:p>
      <w:pPr>
        <w:keepNext w:val="0"/>
        <w:keepLines w:val="0"/>
        <w:pageBreakBefore w:val="0"/>
        <w:widowControl w:val="0"/>
        <w:numPr>
          <w:ilvl w:val="0"/>
          <w:numId w:val="2"/>
        </w:numPr>
        <w:kinsoku/>
        <w:wordWrap/>
        <w:overflowPunct/>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绩效目标分解下达情况</w:t>
      </w:r>
    </w:p>
    <w:p>
      <w:pPr>
        <w:keepNext w:val="0"/>
        <w:keepLines w:val="0"/>
        <w:pageBreakBefore w:val="0"/>
        <w:widowControl w:val="0"/>
        <w:numPr>
          <w:ilvl w:val="0"/>
          <w:numId w:val="0"/>
        </w:numPr>
        <w:kinsoku/>
        <w:wordWrap/>
        <w:overflowPunct/>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1.东西协作资金下达预算及项目情况</w:t>
      </w:r>
    </w:p>
    <w:p>
      <w:pPr>
        <w:keepNext w:val="0"/>
        <w:keepLines w:val="0"/>
        <w:pageBreakBefore w:val="0"/>
        <w:widowControl w:val="0"/>
        <w:numPr>
          <w:ilvl w:val="0"/>
          <w:numId w:val="0"/>
        </w:numPr>
        <w:kinsoku/>
        <w:wordWrap/>
        <w:overflowPunct/>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根据《关于下达东乡县2021年度东西部协作区级援助资金项目计划的通知》（东振领办发〔2021〕1号）于2021年6月7日下达“雨露计划”补助资金180万元。</w:t>
      </w:r>
    </w:p>
    <w:p>
      <w:pPr>
        <w:keepNext w:val="0"/>
        <w:keepLines w:val="0"/>
        <w:pageBreakBefore w:val="0"/>
        <w:widowControl w:val="0"/>
        <w:numPr>
          <w:ilvl w:val="0"/>
          <w:numId w:val="3"/>
        </w:numPr>
        <w:kinsoku/>
        <w:wordWrap/>
        <w:overflowPunct/>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东西协作援助资金项目绩效目标设定情况</w:t>
      </w:r>
    </w:p>
    <w:p>
      <w:pPr>
        <w:keepNext w:val="0"/>
        <w:keepLines w:val="0"/>
        <w:pageBreakBefore w:val="0"/>
        <w:numPr>
          <w:ilvl w:val="0"/>
          <w:numId w:val="0"/>
        </w:numPr>
        <w:kinsoku/>
        <w:wordWrap/>
        <w:overflowPunct/>
        <w:bidi w:val="0"/>
        <w:adjustRightInd/>
        <w:snapToGrid/>
        <w:spacing w:line="36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东西协作援助资金投入到贫困家庭新成长劳动力中接受中、高等职业教育和技工院校教育的在校生，给予贫困家庭接受职业教育的新成长劳动力发放补助。凡符合条件的农村建档立卡（包括边缘户）贫困家庭学生，按照每学期1500元的标准，一学年共计3000元，补助资金一律通过支农惠农“一卡通”直接发放到贫困家庭。通过“雨露计划”补助激发贫困家庭新成长劳动力入读职业院校的积极性，有利于助推教育帮扶。</w:t>
      </w:r>
    </w:p>
    <w:p>
      <w:pPr>
        <w:keepNext w:val="0"/>
        <w:keepLines w:val="0"/>
        <w:pageBreakBefore w:val="0"/>
        <w:widowControl w:val="0"/>
        <w:numPr>
          <w:ilvl w:val="0"/>
          <w:numId w:val="2"/>
        </w:numPr>
        <w:kinsoku/>
        <w:wordWrap/>
        <w:overflowPunct/>
        <w:bidi w:val="0"/>
        <w:adjustRightInd/>
        <w:snapToGrid/>
        <w:spacing w:line="360" w:lineRule="auto"/>
        <w:ind w:left="0" w:leftChars="0" w:firstLine="640" w:firstLineChars="200"/>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绩效自评工作开展情况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自2021年1月1日起对“雨露计划”补助工作进行摸排审核，高度重视“雨露计划”补助工作。通过座谈交流、查阅资料、比对分析、实地查看等方式开展全面检查，覆盖全县24个乡镇。从3月开始，本单位下乡人员对照补助花名逐一入户核查，未发现2020年“雨露计划”补助资金存在不规范问题。同时，在入户过程中积极宣传“雨露计划”补助这一惠民政策。</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绩效目标自评完成情况分析</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资金投入情况分析</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项目资金到位情况分析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2021年6月7日到位180万元东西部协作区级援助。</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项目资金执行情况分析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截止2021年12月，172.05万元资金全部拨付并完成报账，剩余结余资金调项使用。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项目资金管理情况分析</w:t>
      </w:r>
    </w:p>
    <w:p>
      <w:pPr>
        <w:keepNext w:val="0"/>
        <w:keepLines w:val="0"/>
        <w:pageBreakBefore w:val="0"/>
        <w:widowControl/>
        <w:suppressLineNumbers w:val="0"/>
        <w:kinsoku/>
        <w:wordWrap/>
        <w:overflowPunct/>
        <w:bidi w:val="0"/>
        <w:adjustRightInd/>
        <w:snapToGrid/>
        <w:spacing w:line="360" w:lineRule="auto"/>
        <w:ind w:firstLine="640" w:firstLineChars="200"/>
        <w:jc w:val="left"/>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严格按照东西协作援助资金管理和使用办法要求对该项目财务管理进行专款专用。“雨露计划”补助经过精准识别、学籍审查、信息比对等项严格审核，确定补助对象信息在乡镇进行公开公示。</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雨露计划</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扶持政策与乡村振兴工作紧密衔接，支持农村贫困家庭子女接受职业教育，将补助资金通过惠民惠农</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一卡（折）通</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直接发 放到户，做到应补尽补。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绩效目标完成情况分析</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产出指标完成情况分析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雨露计划”补助1147人次，共计172.05万元。涉及全县24个乡镇，其中百和乡37人，共计5.55万元；北岭乡37人，共计5.55万元；春台乡17人，共计2.55万元；达板镇214人，共计32.1万元；大树乡25人，共计3.75万元；东塬乡42人，共计6.3万元；董岭乡21人，共计3.15万元；果园镇18人，共计2.7万元；风山乡24人，共计3.6万元；高山乡27人，共计4.05万元；关卜乡14人，共计2.1万元；河滩镇248人，共计37.2万元；考勒乡2人，共计0.3万元；柳树乡15人，2.25万元；龙泉镇65人，共计9.75万元；那勒寺镇38人，共计5.7万元；锁南镇51人，共计7.65万元；唐汪镇115人，共计17.25万元；汪集镇30人，共计4.5万元；五家乡25人，共计3.75万元；沿岭乡14人，共计2.1万元；赵家乡9人，共计1.35万元。补助资金由财政局代发户拨入补助对象一卡通账户。</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效益指标完成情况</w:t>
      </w:r>
    </w:p>
    <w:p>
      <w:pPr>
        <w:keepNext w:val="0"/>
        <w:keepLines w:val="0"/>
        <w:pageBreakBefore w:val="0"/>
        <w:widowControl w:val="0"/>
        <w:kinsoku/>
        <w:wordWrap/>
        <w:overflowPunct/>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对整个项目工作的成果认真分析对比，项目实施达到预期的工作成果，实现预期工作目标。</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社会效益：整个项目的实施，符合国家教育帮扶政策，确保实现精准帮扶目标要求。把“雨露计划”支持农村贪困家庭新成长劳动力接受职业教育作为精准帮扶的一项硬任务，统筹发挥政府、市场和社会的协同推进作用，坚持就业导向，提供政策支持，引导农村贫困家庭新成长劳动力接受职业教育，提素质、学技能，稳就业、増收入，阻断贫困代际传递。</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满意度指标完成情况分析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贫困户“雨露计划”通过政策扶持，逐步提高农村贫困家庭子女初、高中毕业后接受中、高等职业教育的比例，确保每个有意愿的贫困家庭新成长劳动力学会一项实用技能，就业创业能力得到提升，家庭工资性收入占比显著提高，实现一人长期就业，全家稳定巩固脱贫的目标。资金拨付完成后，在</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全国扶贫开发信息系统</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的</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扶贫项目管理</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模块中，将已经获得</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雨露计划</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职业教育补助的贫困家庭和贫困学生与该项目相关联，实现</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雨露计划</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 xml:space="preserve">” </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项目实施情况的查询统计。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四、偏离绩效目标的原因和下一步改进措施</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还存在工作进展不均衡，精准性有待进一步聚焦，补助发放有待进一步加快等间题。</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原因分析：一是重视程度不高。学生比对、补助发放进度缓慢，补助发放有遗漏。二是政策宣传不到位。培训基地和学校普遍重视技能培训，忽视相关惠农政策的宣传。宣传雨露计划补助政策不够，造成部分符合对象的学生及家长对政策不了解，不知情。</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 改进措施：</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（一）提高思想认识，帮助就业。要根据全国贫困劳动力稳定就业视频会议要求，积极配合人社部门帮助贫困</w:t>
      </w:r>
      <w:bookmarkStart w:id="14" w:name="_GoBack"/>
      <w:bookmarkEnd w:id="14"/>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家庭“两后生”就业。一方面，要广泛効员一批发展良好、社会公信力高的企业，提供一批优质岗位，在职业院校开展专项招聘。另一方面，要用好信息化手段，发挥互联网招聘平合作用，积极引导、组织和应运“线上”平合为贪因家庭毕业生提供就业推荐、就业指导和就业帮扶。</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二）加大宣传。培训学校和各乡镇以及驻村队要加大政策宣传力度，采取印发宣传册、手机APP、电视合、简报、QQ工作群、微信平合、在自然村张贴纸质公告等方式，对“兩露计划”政策进行广泛宣传，不斷提高贫困群众对“雨露计划”补助政策的知晓率。</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五、绩效自评结果拟应用和公开情况</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对贫困户“雨露计划”项目进行自评，高度重视绩效评价，确保项目顺利实施。做好包括年度方案、宣传资料、学籍就读证明、公示图片、补助学生花名册及资金发放汇总表等台账建设。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AD828C"/>
    <w:multiLevelType w:val="singleLevel"/>
    <w:tmpl w:val="A6AD828C"/>
    <w:lvl w:ilvl="0" w:tentative="0">
      <w:start w:val="1"/>
      <w:numFmt w:val="chineseCounting"/>
      <w:suff w:val="nothing"/>
      <w:lvlText w:val="%1、"/>
      <w:lvlJc w:val="left"/>
      <w:rPr>
        <w:rFonts w:hint="eastAsia"/>
      </w:rPr>
    </w:lvl>
  </w:abstractNum>
  <w:abstractNum w:abstractNumId="1">
    <w:nsid w:val="ECFDF465"/>
    <w:multiLevelType w:val="singleLevel"/>
    <w:tmpl w:val="ECFDF465"/>
    <w:lvl w:ilvl="0" w:tentative="0">
      <w:start w:val="1"/>
      <w:numFmt w:val="decimal"/>
      <w:lvlText w:val="%1."/>
      <w:lvlJc w:val="left"/>
      <w:pPr>
        <w:tabs>
          <w:tab w:val="left" w:pos="312"/>
        </w:tabs>
      </w:pPr>
    </w:lvl>
  </w:abstractNum>
  <w:abstractNum w:abstractNumId="2">
    <w:nsid w:val="03C3137D"/>
    <w:multiLevelType w:val="singleLevel"/>
    <w:tmpl w:val="03C3137D"/>
    <w:lvl w:ilvl="0" w:tentative="0">
      <w:start w:val="1"/>
      <w:numFmt w:val="decimal"/>
      <w:lvlText w:val="%1."/>
      <w:lvlJc w:val="left"/>
      <w:pPr>
        <w:tabs>
          <w:tab w:val="left" w:pos="312"/>
        </w:tabs>
      </w:pPr>
    </w:lvl>
  </w:abstractNum>
  <w:abstractNum w:abstractNumId="3">
    <w:nsid w:val="04548E12"/>
    <w:multiLevelType w:val="singleLevel"/>
    <w:tmpl w:val="04548E12"/>
    <w:lvl w:ilvl="0" w:tentative="0">
      <w:start w:val="1"/>
      <w:numFmt w:val="chineseCounting"/>
      <w:suff w:val="nothing"/>
      <w:lvlText w:val="（%1）"/>
      <w:lvlJc w:val="left"/>
      <w:rPr>
        <w:rFonts w:hint="eastAsia"/>
      </w:rPr>
    </w:lvl>
  </w:abstractNum>
  <w:abstractNum w:abstractNumId="4">
    <w:nsid w:val="222D49D6"/>
    <w:multiLevelType w:val="singleLevel"/>
    <w:tmpl w:val="222D49D6"/>
    <w:lvl w:ilvl="0" w:tentative="0">
      <w:start w:val="2"/>
      <w:numFmt w:val="decimal"/>
      <w:lvlText w:val="%1."/>
      <w:lvlJc w:val="left"/>
      <w:pPr>
        <w:tabs>
          <w:tab w:val="left" w:pos="312"/>
        </w:tabs>
      </w:pPr>
    </w:lvl>
  </w:abstractNum>
  <w:abstractNum w:abstractNumId="5">
    <w:nsid w:val="3FA184EB"/>
    <w:multiLevelType w:val="singleLevel"/>
    <w:tmpl w:val="3FA184EB"/>
    <w:lvl w:ilvl="0" w:tentative="0">
      <w:start w:val="8"/>
      <w:numFmt w:val="chineseCounting"/>
      <w:lvlText w:val="%1、"/>
      <w:lvlJc w:val="left"/>
      <w:rPr>
        <w:rFonts w:hint="eastAsia"/>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mFmZGFkNWE2MDdjMDEwNjBjY2MzODQwODYyMmRkNzUifQ=="/>
  </w:docVars>
  <w:rsids>
    <w:rsidRoot w:val="00000000"/>
    <w:rsid w:val="0511788F"/>
    <w:rsid w:val="06AA1511"/>
    <w:rsid w:val="0A4C6688"/>
    <w:rsid w:val="1604696B"/>
    <w:rsid w:val="1739327C"/>
    <w:rsid w:val="189664AC"/>
    <w:rsid w:val="19BA4320"/>
    <w:rsid w:val="1B205130"/>
    <w:rsid w:val="1E712589"/>
    <w:rsid w:val="1F523B54"/>
    <w:rsid w:val="25FD0C5D"/>
    <w:rsid w:val="29C05E6C"/>
    <w:rsid w:val="2F990904"/>
    <w:rsid w:val="39440DDA"/>
    <w:rsid w:val="39F46F0A"/>
    <w:rsid w:val="3ABD5DEE"/>
    <w:rsid w:val="3BD710AD"/>
    <w:rsid w:val="41670196"/>
    <w:rsid w:val="42736B67"/>
    <w:rsid w:val="43D445BB"/>
    <w:rsid w:val="4B60103E"/>
    <w:rsid w:val="4C561EBA"/>
    <w:rsid w:val="4D841CC5"/>
    <w:rsid w:val="4F1428B3"/>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autoRedefine/>
    <w:qFormat/>
    <w:uiPriority w:val="0"/>
    <w:rPr>
      <w:b/>
      <w:bCs/>
    </w:rPr>
  </w:style>
  <w:style w:type="character" w:styleId="7">
    <w:name w:val="FollowedHyperlink"/>
    <w:basedOn w:val="5"/>
    <w:autoRedefine/>
    <w:qFormat/>
    <w:uiPriority w:val="0"/>
    <w:rPr>
      <w:color w:val="333333"/>
      <w:u w:val="none"/>
    </w:rPr>
  </w:style>
  <w:style w:type="character" w:styleId="8">
    <w:name w:val="HTML Definition"/>
    <w:basedOn w:val="5"/>
    <w:autoRedefine/>
    <w:qFormat/>
    <w:uiPriority w:val="0"/>
    <w:rPr>
      <w:i/>
      <w:iCs/>
    </w:rPr>
  </w:style>
  <w:style w:type="character" w:styleId="9">
    <w:name w:val="Hyperlink"/>
    <w:basedOn w:val="5"/>
    <w:autoRedefine/>
    <w:qFormat/>
    <w:uiPriority w:val="0"/>
    <w:rPr>
      <w:color w:val="333333"/>
      <w:u w:val="none"/>
    </w:rPr>
  </w:style>
  <w:style w:type="character" w:styleId="10">
    <w:name w:val="HTML Code"/>
    <w:basedOn w:val="5"/>
    <w:autoRedefine/>
    <w:qFormat/>
    <w:uiPriority w:val="0"/>
    <w:rPr>
      <w:rFonts w:ascii="Consolas" w:hAnsi="Consolas" w:eastAsia="Consolas" w:cs="Consolas"/>
      <w:color w:val="C7254E"/>
      <w:sz w:val="21"/>
      <w:szCs w:val="21"/>
      <w:shd w:val="clear" w:fill="F9F2F4"/>
    </w:rPr>
  </w:style>
  <w:style w:type="character" w:styleId="11">
    <w:name w:val="HTML Keyboard"/>
    <w:basedOn w:val="5"/>
    <w:autoRedefine/>
    <w:qFormat/>
    <w:uiPriority w:val="0"/>
    <w:rPr>
      <w:rFonts w:hint="default" w:ascii="Consolas" w:hAnsi="Consolas" w:eastAsia="Consolas" w:cs="Consolas"/>
      <w:color w:val="FFFFFF"/>
      <w:sz w:val="21"/>
      <w:szCs w:val="21"/>
      <w:shd w:val="clear" w:fill="333333"/>
    </w:rPr>
  </w:style>
  <w:style w:type="character" w:styleId="12">
    <w:name w:val="HTML Sample"/>
    <w:basedOn w:val="5"/>
    <w:autoRedefine/>
    <w:qFormat/>
    <w:uiPriority w:val="0"/>
    <w:rPr>
      <w:rFonts w:hint="default" w:ascii="Consolas" w:hAnsi="Consolas" w:eastAsia="Consolas" w:cs="Consolas"/>
      <w:sz w:val="21"/>
      <w:szCs w:val="21"/>
    </w:rPr>
  </w:style>
  <w:style w:type="character" w:customStyle="1" w:styleId="13">
    <w:name w:val="Body text|1_"/>
    <w:basedOn w:val="5"/>
    <w:link w:val="14"/>
    <w:autoRedefine/>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autoRedefine/>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autoRedefine/>
    <w:qFormat/>
    <w:uiPriority w:val="0"/>
    <w:rPr>
      <w:sz w:val="20"/>
      <w:szCs w:val="20"/>
      <w:u w:val="none"/>
      <w:shd w:val="clear" w:color="auto" w:fill="auto"/>
      <w:lang w:val="zh-TW" w:eastAsia="zh-TW" w:bidi="zh-TW"/>
    </w:rPr>
  </w:style>
  <w:style w:type="paragraph" w:customStyle="1" w:styleId="16">
    <w:name w:val="Header or footer|2"/>
    <w:basedOn w:val="1"/>
    <w:link w:val="15"/>
    <w:autoRedefine/>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autoRedefine/>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autoRedefine/>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autoRedefine/>
    <w:qFormat/>
    <w:uiPriority w:val="0"/>
    <w:rPr>
      <w:sz w:val="17"/>
      <w:szCs w:val="17"/>
      <w:u w:val="none"/>
      <w:shd w:val="clear" w:color="auto" w:fill="auto"/>
      <w:lang w:val="zh-TW" w:eastAsia="zh-TW" w:bidi="zh-TW"/>
    </w:rPr>
  </w:style>
  <w:style w:type="paragraph" w:customStyle="1" w:styleId="20">
    <w:name w:val="Header or footer|1"/>
    <w:basedOn w:val="1"/>
    <w:link w:val="19"/>
    <w:autoRedefine/>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autoRedefine/>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autoRedefine/>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autoRedefine/>
    <w:qFormat/>
    <w:uiPriority w:val="0"/>
  </w:style>
  <w:style w:type="character" w:customStyle="1" w:styleId="24">
    <w:name w:val="zwxxgk_bnt61"/>
    <w:basedOn w:val="5"/>
    <w:autoRedefine/>
    <w:qFormat/>
    <w:uiPriority w:val="0"/>
  </w:style>
  <w:style w:type="character" w:customStyle="1" w:styleId="25">
    <w:name w:val="zwxxgk_bnt62"/>
    <w:basedOn w:val="5"/>
    <w:autoRedefine/>
    <w:qFormat/>
    <w:uiPriority w:val="0"/>
  </w:style>
  <w:style w:type="character" w:customStyle="1" w:styleId="26">
    <w:name w:val="zwxxgk_bnt5"/>
    <w:basedOn w:val="5"/>
    <w:autoRedefine/>
    <w:qFormat/>
    <w:uiPriority w:val="0"/>
  </w:style>
  <w:style w:type="character" w:customStyle="1" w:styleId="27">
    <w:name w:val="zwxxgk_bnt51"/>
    <w:basedOn w:val="5"/>
    <w:autoRedefine/>
    <w:qFormat/>
    <w:uiPriority w:val="0"/>
  </w:style>
  <w:style w:type="character" w:customStyle="1" w:styleId="28">
    <w:name w:val="zwxxgk_bnt52"/>
    <w:basedOn w:val="5"/>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6779</Words>
  <Characters>7364</Characters>
  <TotalTime>4</TotalTime>
  <ScaleCrop>false</ScaleCrop>
  <LinksUpToDate>false</LinksUpToDate>
  <CharactersWithSpaces>7433</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强颜欢笑</cp:lastModifiedBy>
  <cp:lastPrinted>2022-08-31T08:40:00Z</cp:lastPrinted>
  <dcterms:modified xsi:type="dcterms:W3CDTF">2023-12-15T02:34:06Z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26F3DAC842244534A08BBE0246869BB3</vt:lpwstr>
  </property>
</Properties>
</file>