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东乡县地震局</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hint="eastAsia"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numPr>
          <w:ilvl w:val="0"/>
          <w:numId w:val="1"/>
        </w:numPr>
        <w:spacing w:line="640" w:lineRule="exact"/>
        <w:ind w:firstLine="1590" w:firstLineChars="497"/>
        <w:rPr>
          <w:rFonts w:hint="eastAsia" w:ascii="仿宋_GB2312" w:hAnsi="黑体" w:eastAsia="仿宋_GB2312"/>
          <w:sz w:val="32"/>
          <w:szCs w:val="32"/>
          <w:highlight w:val="none"/>
        </w:rPr>
      </w:pPr>
      <w:r>
        <w:rPr>
          <w:rFonts w:hint="eastAsia" w:ascii="仿宋_GB2312" w:hAnsi="黑体" w:eastAsia="仿宋_GB2312"/>
          <w:sz w:val="32"/>
          <w:szCs w:val="32"/>
          <w:highlight w:val="none"/>
        </w:rPr>
        <w:t>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2"/>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widowControl/>
        <w:suppressLineNumbers w:val="0"/>
        <w:ind w:firstLine="680" w:firstLineChars="200"/>
        <w:jc w:val="left"/>
        <w:rPr>
          <w:highlight w:val="none"/>
        </w:rPr>
      </w:pPr>
      <w:r>
        <w:rPr>
          <w:rFonts w:ascii="仿宋" w:hAnsi="仿宋" w:eastAsia="仿宋" w:cs="仿宋"/>
          <w:color w:val="000000"/>
          <w:kern w:val="0"/>
          <w:sz w:val="34"/>
          <w:szCs w:val="34"/>
          <w:highlight w:val="none"/>
          <w:lang w:val="en-US" w:eastAsia="zh-CN" w:bidi="ar"/>
        </w:rPr>
        <w:t xml:space="preserve">抗震设防审批、防震减灾知识的宣传、动物宏观观测异常情况.负责震情和灾情速报、震情 </w:t>
      </w:r>
    </w:p>
    <w:p>
      <w:pPr>
        <w:keepNext w:val="0"/>
        <w:keepLines w:val="0"/>
        <w:widowControl/>
        <w:suppressLineNumbers w:val="0"/>
        <w:jc w:val="left"/>
        <w:rPr>
          <w:highlight w:val="none"/>
        </w:rPr>
      </w:pPr>
      <w:r>
        <w:rPr>
          <w:rFonts w:hint="eastAsia" w:ascii="仿宋" w:hAnsi="仿宋" w:eastAsia="仿宋" w:cs="仿宋"/>
          <w:color w:val="000000"/>
          <w:kern w:val="0"/>
          <w:sz w:val="34"/>
          <w:szCs w:val="34"/>
          <w:highlight w:val="none"/>
          <w:lang w:val="en-US" w:eastAsia="zh-CN" w:bidi="ar"/>
        </w:rPr>
        <w:t xml:space="preserve">考察等工作。 </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keepNext w:val="0"/>
        <w:keepLines w:val="0"/>
        <w:widowControl/>
        <w:suppressLineNumbers w:val="0"/>
        <w:jc w:val="left"/>
        <w:rPr>
          <w:highlight w:val="none"/>
        </w:rPr>
      </w:pPr>
      <w:r>
        <w:rPr>
          <w:rFonts w:ascii="仿宋" w:hAnsi="仿宋" w:eastAsia="仿宋" w:cs="仿宋"/>
          <w:color w:val="000000"/>
          <w:kern w:val="0"/>
          <w:sz w:val="34"/>
          <w:szCs w:val="34"/>
          <w:highlight w:val="none"/>
          <w:lang w:val="en-US" w:eastAsia="zh-CN" w:bidi="ar"/>
        </w:rPr>
        <w:t>人秘股、监测预报室。震灾预防股.安评所</w:t>
      </w:r>
      <w:r>
        <w:rPr>
          <w:rFonts w:hint="eastAsia" w:ascii="仿宋" w:hAnsi="仿宋" w:eastAsia="仿宋" w:cs="仿宋"/>
          <w:color w:val="000000"/>
          <w:kern w:val="0"/>
          <w:sz w:val="34"/>
          <w:szCs w:val="34"/>
          <w:highlight w:val="none"/>
          <w:lang w:val="en-US" w:eastAsia="zh-CN" w:bidi="ar"/>
        </w:rPr>
        <w:t>。</w:t>
      </w:r>
    </w:p>
    <w:p>
      <w:pPr>
        <w:pStyle w:val="2"/>
        <w:numPr>
          <w:ilvl w:val="0"/>
          <w:numId w:val="0"/>
        </w:numPr>
        <w:ind w:firstLine="420" w:firstLineChars="200"/>
        <w:rPr>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keepNext w:val="0"/>
        <w:keepLines w:val="0"/>
        <w:widowControl/>
        <w:suppressLineNumbers w:val="0"/>
        <w:ind w:firstLine="640" w:firstLineChars="200"/>
        <w:jc w:val="left"/>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2022年预算收入2450157.2元，比上年预算</w:t>
      </w:r>
      <w:r>
        <w:rPr>
          <w:rFonts w:hint="eastAsia" w:ascii="仿宋_GB2312" w:hAnsi="黑体" w:eastAsia="仿宋_GB2312"/>
          <w:sz w:val="32"/>
          <w:szCs w:val="32"/>
          <w:highlight w:val="none"/>
          <w:lang w:val="en-US" w:eastAsia="zh-CN"/>
        </w:rPr>
        <w:t>增加701122.2</w:t>
      </w:r>
      <w:r>
        <w:rPr>
          <w:rFonts w:hint="eastAsia" w:ascii="仿宋_GB2312" w:hAnsi="黑体" w:eastAsia="仿宋_GB2312"/>
          <w:sz w:val="32"/>
          <w:szCs w:val="32"/>
          <w:highlight w:val="none"/>
        </w:rPr>
        <w:t>元，其中：一般公共预算财政拨款收入2450157.2元，政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2450157.2</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40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人员正常晋升及人数变动人员经费开支增加。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keepNext w:val="0"/>
        <w:keepLines w:val="0"/>
        <w:widowControl/>
        <w:suppressLineNumbers w:val="0"/>
        <w:ind w:left="638" w:leftChars="304" w:firstLine="0" w:firstLineChars="0"/>
        <w:jc w:val="left"/>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26112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26112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增加63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人员正常晋升及人数变动工会经费开支增加。</w:t>
      </w:r>
    </w:p>
    <w:p>
      <w:pPr>
        <w:spacing w:line="640" w:lineRule="exact"/>
        <w:ind w:left="638" w:leftChars="304" w:firstLine="0" w:firstLineChars="0"/>
        <w:rPr>
          <w:rFonts w:hint="eastAsia" w:ascii="仿宋_GB2312" w:hAnsi="黑体" w:eastAsia="仿宋_GB2312"/>
          <w:sz w:val="32"/>
          <w:szCs w:val="32"/>
          <w:highlight w:val="none"/>
        </w:rPr>
      </w:pPr>
      <w:r>
        <w:rPr>
          <w:rFonts w:hint="eastAsia" w:ascii="仿宋_GB2312" w:hAnsi="宋体" w:eastAsia="仿宋_GB2312"/>
          <w:sz w:val="32"/>
          <w:szCs w:val="32"/>
          <w:highlight w:val="none"/>
        </w:rPr>
        <w:t>社会保障和就业支出211507.20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人员正常晋升及人数变动开支增加。</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卫生健康支出87024.00</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主要原因是卫生健康支出</w:t>
      </w:r>
      <w:r>
        <w:rPr>
          <w:rFonts w:hint="eastAsia" w:ascii="仿宋_GB2312" w:hAnsi="黑体" w:eastAsia="仿宋_GB2312"/>
          <w:sz w:val="32"/>
          <w:szCs w:val="32"/>
          <w:highlight w:val="none"/>
          <w:lang w:val="en-US" w:eastAsia="zh-CN"/>
        </w:rPr>
        <w:t>未</w:t>
      </w:r>
      <w:r>
        <w:rPr>
          <w:rFonts w:hint="eastAsia" w:ascii="仿宋_GB2312" w:hAnsi="黑体" w:eastAsia="仿宋_GB2312"/>
          <w:sz w:val="32"/>
          <w:szCs w:val="32"/>
          <w:highlight w:val="none"/>
          <w:lang w:eastAsia="zh-CN"/>
        </w:rPr>
        <w:t>列入单位预算</w:t>
      </w:r>
      <w:r>
        <w:rPr>
          <w:rFonts w:hint="eastAsia" w:ascii="仿宋_GB2312" w:hAnsi="宋体" w:eastAsia="仿宋_GB2312"/>
          <w:sz w:val="32"/>
          <w:szCs w:val="32"/>
          <w:highlight w:val="none"/>
          <w:lang w:val="en-US" w:eastAsia="zh-CN"/>
        </w:rPr>
        <w:t>。</w:t>
      </w:r>
    </w:p>
    <w:p>
      <w:pPr>
        <w:spacing w:line="640" w:lineRule="exact"/>
        <w:ind w:left="638" w:leftChars="304" w:firstLine="0" w:firstLineChars="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住房保障支出156672.00元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，主要原因是住房公积金</w:t>
      </w:r>
      <w:r>
        <w:rPr>
          <w:rFonts w:hint="eastAsia" w:ascii="仿宋_GB2312" w:hAnsi="黑体" w:eastAsia="仿宋_GB2312"/>
          <w:sz w:val="32"/>
          <w:szCs w:val="32"/>
          <w:highlight w:val="none"/>
          <w:lang w:val="en-US" w:eastAsia="zh-CN"/>
        </w:rPr>
        <w:t>未</w:t>
      </w:r>
      <w:r>
        <w:rPr>
          <w:rFonts w:hint="eastAsia" w:ascii="仿宋_GB2312" w:hAnsi="黑体" w:eastAsia="仿宋_GB2312"/>
          <w:sz w:val="32"/>
          <w:szCs w:val="32"/>
          <w:highlight w:val="none"/>
          <w:lang w:eastAsia="zh-CN"/>
        </w:rPr>
        <w:t>列入单位预算。</w:t>
      </w:r>
      <w:r>
        <w:rPr>
          <w:rFonts w:hint="eastAsia" w:ascii="仿宋_GB2312" w:hAnsi="黑体" w:eastAsia="仿宋_GB2312"/>
          <w:sz w:val="32"/>
          <w:szCs w:val="32"/>
          <w:highlight w:val="none"/>
          <w:lang w:val="en-US" w:eastAsia="zh-CN"/>
        </w:rPr>
        <w:t>灾害防治及应急管理支出1968842.00</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灾害防治及应急管理未</w:t>
      </w:r>
      <w:r>
        <w:rPr>
          <w:rFonts w:hint="eastAsia" w:ascii="仿宋_GB2312" w:hAnsi="黑体" w:eastAsia="仿宋_GB2312"/>
          <w:sz w:val="32"/>
          <w:szCs w:val="32"/>
          <w:highlight w:val="none"/>
          <w:lang w:eastAsia="zh-CN"/>
        </w:rPr>
        <w:t>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keepNext w:val="0"/>
        <w:keepLines w:val="0"/>
        <w:widowControl/>
        <w:suppressLineNumbers w:val="0"/>
        <w:ind w:left="638" w:leftChars="304" w:firstLine="0" w:firstLineChars="0"/>
        <w:jc w:val="left"/>
        <w:rPr>
          <w:rFonts w:hint="eastAsia" w:ascii="仿宋_GB2312" w:hAnsi="宋体" w:eastAsia="仿宋_GB2312"/>
          <w:sz w:val="32"/>
          <w:szCs w:val="32"/>
          <w:highlight w:val="none"/>
        </w:rPr>
      </w:pPr>
      <w:r>
        <w:rPr>
          <w:rFonts w:hint="eastAsia" w:ascii="楷体_GB2312" w:hAnsi="黑体" w:eastAsia="楷体_GB2312"/>
          <w:b/>
          <w:sz w:val="32"/>
          <w:szCs w:val="32"/>
          <w:highlight w:val="none"/>
        </w:rPr>
        <w:t>（一）一般公共服务支出</w:t>
      </w:r>
      <w:r>
        <w:rPr>
          <w:rFonts w:hint="eastAsia" w:ascii="仿宋_GB2312" w:hAnsi="黑体" w:eastAsia="仿宋_GB2312"/>
          <w:sz w:val="32"/>
          <w:szCs w:val="32"/>
          <w:highlight w:val="none"/>
        </w:rPr>
        <w:t>2022年预算支出26112元，比上年预算数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63</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人员正常晋升及人数变动工会经费开支增加。</w:t>
      </w:r>
    </w:p>
    <w:p>
      <w:pPr>
        <w:spacing w:line="640" w:lineRule="exact"/>
        <w:ind w:left="638" w:leftChars="304" w:firstLine="0" w:firstLineChars="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）行政事业单位养老支出（款）2022年预算支出208896.00元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人员正常晋升及人数变动开支增加。</w:t>
      </w:r>
      <w:r>
        <w:rPr>
          <w:rFonts w:hint="eastAsia" w:ascii="仿宋_GB2312" w:hAnsi="黑体" w:eastAsia="仿宋_GB2312"/>
          <w:sz w:val="32"/>
          <w:szCs w:val="32"/>
          <w:highlight w:val="none"/>
        </w:rPr>
        <w:t>其中：机关事业单位基本养老保险缴费支出（项）2022年预算支出208896.00元。</w:t>
      </w:r>
    </w:p>
    <w:p>
      <w:pPr>
        <w:spacing w:line="640" w:lineRule="exact"/>
        <w:ind w:left="638" w:leftChars="304" w:firstLine="0" w:firstLineChars="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）财政对其他社会保险基金的补助（款）2022年预算支出2611.20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其中：财政对工伤保险基金的补助（项）2022年预算支出2611.20元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上年灾害防治及应急管理未</w:t>
      </w:r>
      <w:r>
        <w:rPr>
          <w:rFonts w:hint="eastAsia" w:ascii="仿宋_GB2312" w:hAnsi="黑体" w:eastAsia="仿宋_GB2312"/>
          <w:sz w:val="32"/>
          <w:szCs w:val="32"/>
          <w:highlight w:val="none"/>
          <w:lang w:eastAsia="zh-CN"/>
        </w:rPr>
        <w:t>列入单位预算</w:t>
      </w:r>
      <w:r>
        <w:rPr>
          <w:rFonts w:hint="eastAsia" w:ascii="仿宋_GB2312" w:hAnsi="黑体" w:eastAsia="仿宋_GB2312"/>
          <w:sz w:val="32"/>
          <w:szCs w:val="32"/>
          <w:highlight w:val="none"/>
        </w:rPr>
        <w:t>。</w:t>
      </w:r>
    </w:p>
    <w:p>
      <w:pPr>
        <w:spacing w:line="640" w:lineRule="exact"/>
        <w:ind w:left="959" w:leftChars="304" w:hanging="321" w:hangingChars="1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）财政对基本医疗保险基金的补助（款）2022年预算支出87024.00元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上年</w:t>
      </w: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未</w:t>
      </w:r>
      <w:r>
        <w:rPr>
          <w:rFonts w:hint="eastAsia" w:ascii="仿宋_GB2312" w:hAnsi="黑体" w:eastAsia="仿宋_GB2312"/>
          <w:sz w:val="32"/>
          <w:szCs w:val="32"/>
          <w:highlight w:val="none"/>
          <w:lang w:eastAsia="zh-CN"/>
        </w:rPr>
        <w:t>列入单位预算</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其中：财政对职工基本医疗保险基金的补助（项）2022年预算支出87024.00元。</w:t>
      </w:r>
    </w:p>
    <w:p>
      <w:pPr>
        <w:spacing w:line="640" w:lineRule="exact"/>
        <w:ind w:left="638" w:leftChars="304" w:firstLine="0" w:firstLineChars="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住房保障支出（类</w:t>
      </w:r>
      <w:r>
        <w:rPr>
          <w:rFonts w:hint="eastAsia" w:ascii="仿宋_GB2312" w:hAnsi="黑体" w:eastAsia="仿宋_GB2312"/>
          <w:sz w:val="32"/>
          <w:szCs w:val="32"/>
          <w:highlight w:val="none"/>
        </w:rPr>
        <w:t>）住房改革支出（款）2022年预算支出156672.00元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上年</w:t>
      </w:r>
      <w:r>
        <w:rPr>
          <w:rFonts w:hint="eastAsia" w:ascii="仿宋_GB2312" w:hAnsi="黑体" w:eastAsia="仿宋_GB2312"/>
          <w:sz w:val="32"/>
          <w:szCs w:val="32"/>
          <w:highlight w:val="none"/>
          <w:lang w:eastAsia="zh-CN"/>
        </w:rPr>
        <w:t>住房公积金</w:t>
      </w:r>
      <w:r>
        <w:rPr>
          <w:rFonts w:hint="eastAsia" w:ascii="仿宋_GB2312" w:hAnsi="黑体" w:eastAsia="仿宋_GB2312"/>
          <w:sz w:val="32"/>
          <w:szCs w:val="32"/>
          <w:highlight w:val="none"/>
          <w:lang w:val="en-US" w:eastAsia="zh-CN"/>
        </w:rPr>
        <w:t>未</w:t>
      </w:r>
      <w:r>
        <w:rPr>
          <w:rFonts w:hint="eastAsia" w:ascii="仿宋_GB2312" w:hAnsi="黑体" w:eastAsia="仿宋_GB2312"/>
          <w:sz w:val="32"/>
          <w:szCs w:val="32"/>
          <w:highlight w:val="none"/>
          <w:lang w:eastAsia="zh-CN"/>
        </w:rPr>
        <w:t>列入单位预算。</w:t>
      </w:r>
      <w:r>
        <w:rPr>
          <w:rFonts w:hint="eastAsia" w:ascii="仿宋_GB2312" w:hAnsi="黑体" w:eastAsia="仿宋_GB2312"/>
          <w:sz w:val="32"/>
          <w:szCs w:val="32"/>
          <w:highlight w:val="none"/>
        </w:rPr>
        <w:t>其中：住房公积金（项）2022年预算支出156672.00元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pStyle w:val="2"/>
        <w:numPr>
          <w:ilvl w:val="0"/>
          <w:numId w:val="0"/>
        </w:numPr>
        <w:ind w:left="638" w:leftChars="304" w:firstLine="0" w:firstLineChars="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2395657.2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比上年增加36.97%，</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人员正常晋升</w:t>
      </w:r>
      <w:bookmarkStart w:id="0" w:name="_GoBack"/>
      <w:bookmarkEnd w:id="0"/>
      <w:r>
        <w:rPr>
          <w:rFonts w:hint="eastAsia" w:ascii="仿宋_GB2312" w:hAnsi="宋体" w:eastAsia="仿宋_GB2312"/>
          <w:sz w:val="32"/>
          <w:szCs w:val="32"/>
          <w:highlight w:val="none"/>
          <w:lang w:val="en-US" w:eastAsia="zh-CN"/>
        </w:rPr>
        <w:t>及人数变动开支增加。</w:t>
      </w:r>
      <w:r>
        <w:rPr>
          <w:rFonts w:hint="eastAsia" w:ascii="仿宋_GB2312" w:hAnsi="黑体" w:eastAsia="仿宋_GB2312"/>
          <w:sz w:val="32"/>
          <w:szCs w:val="32"/>
          <w:highlight w:val="none"/>
        </w:rPr>
        <w:t>其中：人员经费2315657.2元，单位运转经费80000.00元。</w:t>
      </w:r>
    </w:p>
    <w:p>
      <w:pPr>
        <w:numPr>
          <w:ilvl w:val="0"/>
          <w:numId w:val="0"/>
        </w:num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部门</w:t>
      </w:r>
      <w:r>
        <w:rPr>
          <w:rFonts w:hint="eastAsia" w:ascii="黑体" w:hAnsi="黑体" w:eastAsia="黑体"/>
          <w:sz w:val="32"/>
          <w:szCs w:val="32"/>
          <w:highlight w:val="none"/>
          <w:lang w:eastAsia="zh-CN"/>
        </w:rPr>
        <w:t>项目支出</w:t>
      </w:r>
      <w:r>
        <w:rPr>
          <w:rFonts w:hint="eastAsia" w:ascii="黑体" w:hAnsi="黑体" w:eastAsia="黑体"/>
          <w:sz w:val="32"/>
          <w:szCs w:val="32"/>
          <w:highlight w:val="none"/>
        </w:rPr>
        <w:t>经费情况说明</w:t>
      </w:r>
    </w:p>
    <w:p>
      <w:pPr>
        <w:pStyle w:val="2"/>
        <w:numPr>
          <w:ilvl w:val="0"/>
          <w:numId w:val="0"/>
        </w:numPr>
        <w:ind w:leftChars="497"/>
        <w:rPr>
          <w:rFonts w:hint="default" w:ascii="仿宋_GB2312" w:hAnsi="黑体" w:eastAsia="仿宋_GB2312" w:cs="Times New Roman"/>
          <w:kern w:val="2"/>
          <w:sz w:val="32"/>
          <w:szCs w:val="32"/>
          <w:highlight w:val="none"/>
          <w:lang w:val="en-US" w:eastAsia="zh-CN" w:bidi="ar-SA"/>
        </w:rPr>
      </w:pPr>
      <w:r>
        <w:rPr>
          <w:rFonts w:hint="eastAsia" w:ascii="仿宋_GB2312" w:hAnsi="黑体" w:eastAsia="仿宋_GB2312" w:cs="Times New Roman"/>
          <w:kern w:val="2"/>
          <w:sz w:val="32"/>
          <w:szCs w:val="32"/>
          <w:highlight w:val="none"/>
          <w:lang w:val="en-US" w:eastAsia="zh-CN" w:bidi="ar-SA"/>
        </w:rPr>
        <w:t>2022年项目支出54500元</w:t>
      </w:r>
      <w:r>
        <w:rPr>
          <w:rFonts w:hint="eastAsia" w:ascii="仿宋_GB2312" w:hAnsi="黑体" w:eastAsia="仿宋_GB2312"/>
          <w:sz w:val="32"/>
          <w:szCs w:val="32"/>
          <w:highlight w:val="none"/>
          <w:lang w:val="en-US" w:eastAsia="zh-CN"/>
        </w:rPr>
        <w:t>，比上年增加100%，</w:t>
      </w:r>
      <w:r>
        <w:rPr>
          <w:rFonts w:hint="eastAsia" w:ascii="仿宋_GB2312" w:hAnsi="宋体" w:eastAsia="仿宋_GB2312"/>
          <w:sz w:val="32"/>
          <w:szCs w:val="32"/>
          <w:highlight w:val="none"/>
          <w:lang w:val="en-US" w:eastAsia="zh-CN"/>
        </w:rPr>
        <w:t>主要原因是</w:t>
      </w:r>
      <w:r>
        <w:rPr>
          <w:rFonts w:hint="eastAsia" w:ascii="仿宋_GB2312" w:hAnsi="黑体" w:eastAsia="仿宋_GB2312"/>
          <w:sz w:val="32"/>
          <w:szCs w:val="32"/>
          <w:highlight w:val="none"/>
          <w:lang w:val="en-US" w:eastAsia="zh-CN"/>
        </w:rPr>
        <w:t>实施项目列入预算</w:t>
      </w:r>
      <w:r>
        <w:rPr>
          <w:rFonts w:hint="eastAsia" w:ascii="仿宋_GB2312" w:hAnsi="黑体" w:eastAsia="仿宋_GB2312" w:cs="Times New Roman"/>
          <w:kern w:val="2"/>
          <w:sz w:val="32"/>
          <w:szCs w:val="32"/>
          <w:highlight w:val="none"/>
          <w:lang w:val="en-US" w:eastAsia="zh-CN" w:bidi="ar-SA"/>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numPr>
          <w:ilvl w:val="0"/>
          <w:numId w:val="3"/>
        </w:num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p>
    <w:p>
      <w:pPr>
        <w:numPr>
          <w:ilvl w:val="0"/>
          <w:numId w:val="3"/>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numPr>
          <w:ilvl w:val="0"/>
          <w:numId w:val="0"/>
        </w:num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numPr>
          <w:ilvl w:val="0"/>
          <w:numId w:val="0"/>
        </w:num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80000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17700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，比上年减少72.77%，</w:t>
      </w:r>
      <w:r>
        <w:rPr>
          <w:rFonts w:hint="eastAsia" w:ascii="仿宋_GB2312" w:hAnsi="宋体" w:eastAsia="仿宋_GB2312"/>
          <w:sz w:val="32"/>
          <w:szCs w:val="32"/>
          <w:highlight w:val="none"/>
          <w:lang w:val="en-US" w:eastAsia="zh-CN"/>
        </w:rPr>
        <w:t>主要原因是</w:t>
      </w:r>
      <w:r>
        <w:rPr>
          <w:rFonts w:hint="eastAsia" w:ascii="仿宋_GB2312" w:hAnsi="黑体" w:eastAsia="仿宋_GB2312"/>
          <w:sz w:val="32"/>
          <w:szCs w:val="32"/>
          <w:highlight w:val="none"/>
          <w:lang w:val="en-US" w:eastAsia="zh-CN"/>
        </w:rPr>
        <w:t>采购预算减少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17700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0C9B6"/>
    <w:multiLevelType w:val="singleLevel"/>
    <w:tmpl w:val="BA10C9B6"/>
    <w:lvl w:ilvl="0" w:tentative="0">
      <w:start w:val="2"/>
      <w:numFmt w:val="chineseCounting"/>
      <w:suff w:val="nothing"/>
      <w:lvlText w:val="%1、"/>
      <w:lvlJc w:val="left"/>
      <w:rPr>
        <w:rFonts w:hint="eastAsia"/>
      </w:rPr>
    </w:lvl>
  </w:abstractNum>
  <w:abstractNum w:abstractNumId="1">
    <w:nsid w:val="190F8881"/>
    <w:multiLevelType w:val="singleLevel"/>
    <w:tmpl w:val="190F8881"/>
    <w:lvl w:ilvl="0" w:tentative="0">
      <w:start w:val="1"/>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Q4Mzg0MmZmMWNiZDI4MmU3MTUyN2Q5YzZmOTY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1A1188"/>
    <w:rsid w:val="047D2F82"/>
    <w:rsid w:val="060021DC"/>
    <w:rsid w:val="064D410C"/>
    <w:rsid w:val="06746E88"/>
    <w:rsid w:val="06BE6228"/>
    <w:rsid w:val="07EA6CFD"/>
    <w:rsid w:val="0A116753"/>
    <w:rsid w:val="0B896034"/>
    <w:rsid w:val="0D824E94"/>
    <w:rsid w:val="0E6F37D9"/>
    <w:rsid w:val="0F690117"/>
    <w:rsid w:val="112936A0"/>
    <w:rsid w:val="1250416D"/>
    <w:rsid w:val="13B82E0D"/>
    <w:rsid w:val="141D039C"/>
    <w:rsid w:val="17432B85"/>
    <w:rsid w:val="1909264A"/>
    <w:rsid w:val="198119BE"/>
    <w:rsid w:val="1A404921"/>
    <w:rsid w:val="1B78482C"/>
    <w:rsid w:val="1C6D1D31"/>
    <w:rsid w:val="1C8E7BC6"/>
    <w:rsid w:val="1D654F62"/>
    <w:rsid w:val="204B1966"/>
    <w:rsid w:val="205A7194"/>
    <w:rsid w:val="210F4887"/>
    <w:rsid w:val="21A43C4F"/>
    <w:rsid w:val="22273516"/>
    <w:rsid w:val="2233056C"/>
    <w:rsid w:val="23481AF4"/>
    <w:rsid w:val="23513756"/>
    <w:rsid w:val="24A7216D"/>
    <w:rsid w:val="250F1490"/>
    <w:rsid w:val="292A0545"/>
    <w:rsid w:val="2B26350E"/>
    <w:rsid w:val="2B5C1C56"/>
    <w:rsid w:val="2BCF3D4E"/>
    <w:rsid w:val="2D550DF7"/>
    <w:rsid w:val="2DBA0562"/>
    <w:rsid w:val="31314161"/>
    <w:rsid w:val="31352995"/>
    <w:rsid w:val="32A96D1A"/>
    <w:rsid w:val="34032DB0"/>
    <w:rsid w:val="34B82D6F"/>
    <w:rsid w:val="373703E1"/>
    <w:rsid w:val="37580FE7"/>
    <w:rsid w:val="396616D2"/>
    <w:rsid w:val="39882115"/>
    <w:rsid w:val="39A71DAE"/>
    <w:rsid w:val="3D8C4411"/>
    <w:rsid w:val="3DBA3A0E"/>
    <w:rsid w:val="40465DD0"/>
    <w:rsid w:val="40CC1D5D"/>
    <w:rsid w:val="416268DB"/>
    <w:rsid w:val="452F6292"/>
    <w:rsid w:val="47AF499B"/>
    <w:rsid w:val="484D612A"/>
    <w:rsid w:val="48A9072C"/>
    <w:rsid w:val="48E94557"/>
    <w:rsid w:val="4CCA7C17"/>
    <w:rsid w:val="4D903B41"/>
    <w:rsid w:val="4DA8126D"/>
    <w:rsid w:val="4DD72226"/>
    <w:rsid w:val="4DFC4A28"/>
    <w:rsid w:val="4EA300AE"/>
    <w:rsid w:val="50622DD8"/>
    <w:rsid w:val="51C77E42"/>
    <w:rsid w:val="54B1376D"/>
    <w:rsid w:val="56311F34"/>
    <w:rsid w:val="564548F7"/>
    <w:rsid w:val="565305B1"/>
    <w:rsid w:val="56C73340"/>
    <w:rsid w:val="57C21E60"/>
    <w:rsid w:val="58BD7101"/>
    <w:rsid w:val="59441D15"/>
    <w:rsid w:val="5A3206F2"/>
    <w:rsid w:val="5B9179D9"/>
    <w:rsid w:val="61EF1B1B"/>
    <w:rsid w:val="621A3658"/>
    <w:rsid w:val="62B62979"/>
    <w:rsid w:val="64252B6E"/>
    <w:rsid w:val="651520BC"/>
    <w:rsid w:val="661A6258"/>
    <w:rsid w:val="6A136FDE"/>
    <w:rsid w:val="6A752B54"/>
    <w:rsid w:val="6EA6456E"/>
    <w:rsid w:val="73EF208A"/>
    <w:rsid w:val="74517818"/>
    <w:rsid w:val="75840CDB"/>
    <w:rsid w:val="75FA50B5"/>
    <w:rsid w:val="77781E83"/>
    <w:rsid w:val="78062181"/>
    <w:rsid w:val="794965D5"/>
    <w:rsid w:val="79D61FC6"/>
    <w:rsid w:val="7CF82ADB"/>
    <w:rsid w:val="7F2E2508"/>
    <w:rsid w:val="7FC16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uiPriority w:val="0"/>
    <w:rPr>
      <w:kern w:val="2"/>
      <w:sz w:val="18"/>
      <w:szCs w:val="18"/>
    </w:rPr>
  </w:style>
  <w:style w:type="character" w:customStyle="1" w:styleId="12">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2405</Words>
  <Characters>2712</Characters>
  <Lines>16</Lines>
  <Paragraphs>4</Paragraphs>
  <TotalTime>3</TotalTime>
  <ScaleCrop>false</ScaleCrop>
  <LinksUpToDate>false</LinksUpToDate>
  <CharactersWithSpaces>2768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2023-06-08T02:02:48Z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7BB5649713B14A4EA82B942200F6BA35_13</vt:lpwstr>
  </property>
</Properties>
</file>