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lang w:eastAsia="zh-CN"/>
        </w:rPr>
        <w:t>东乡族自治县文体广电和旅游局</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both"/>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keepNext w:val="0"/>
        <w:keepLines w:val="0"/>
        <w:widowControl/>
        <w:suppressLineNumbers w:val="0"/>
        <w:ind w:firstLine="680" w:firstLineChars="200"/>
        <w:jc w:val="left"/>
      </w:pPr>
      <w:r>
        <w:rPr>
          <w:rFonts w:ascii="仿宋" w:hAnsi="仿宋" w:eastAsia="仿宋" w:cs="仿宋"/>
          <w:color w:val="000000"/>
          <w:kern w:val="0"/>
          <w:sz w:val="34"/>
          <w:szCs w:val="34"/>
          <w:lang w:val="en-US" w:eastAsia="zh-CN" w:bidi="ar"/>
        </w:rPr>
        <w:t xml:space="preserve">东乡县文体广电和旅游局是县政府工作部门，为正科级，加挂县文物局和文化市场综合行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政执法队牌子。主要职能是：贯彻落实党的文化、体育、广电和旅游工作方针政策和法律法规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，统筹规划全县文化事业、体育事业、文化产业和旅游业发展，研究拟订全县文化、体育、广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电和旅游工作发展规划并组织实施，推进全县文化、体育、广电和旅游融合发展。对全县文化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和旅游、文物、出版、广播电视、电影市场进行监管，实施行政处罚以及与行政处罚相关的行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政检查、行政强制等职能。管理全县重大文体活动，统筹协调全县文化旅游博览活动和相关节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会活动。负责全县公共文化、体育、旅游事业发展，推进全县公共文化、体育、旅游服务体系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建设，深入实施文化惠民工程，统筹推进全县基本公共文化、体育、旅游服务标准化、均等化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，促进多元化公共服务体系建设。负责全县非物质文化遗产保护，推动全县非物质文化遗产的 </w:t>
      </w:r>
    </w:p>
    <w:p>
      <w:pPr>
        <w:keepNext w:val="0"/>
        <w:keepLines w:val="0"/>
        <w:widowControl/>
        <w:suppressLineNumbers w:val="0"/>
        <w:jc w:val="left"/>
        <w:rPr>
          <w:rFonts w:ascii="仿宋_GB2312" w:hAnsi="宋体" w:eastAsia="仿宋_GB2312" w:cs="宋体"/>
          <w:kern w:val="0"/>
          <w:sz w:val="32"/>
          <w:szCs w:val="32"/>
          <w:highlight w:val="yellow"/>
        </w:rPr>
      </w:pPr>
      <w:r>
        <w:rPr>
          <w:rFonts w:hint="eastAsia" w:ascii="仿宋" w:hAnsi="仿宋" w:eastAsia="仿宋" w:cs="仿宋"/>
          <w:color w:val="000000"/>
          <w:kern w:val="0"/>
          <w:sz w:val="34"/>
          <w:szCs w:val="34"/>
          <w:lang w:val="en-US" w:eastAsia="zh-CN" w:bidi="ar"/>
        </w:rPr>
        <w:t xml:space="preserve">保护、传承、普及、弘扬和振兴 </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keepNext w:val="0"/>
        <w:keepLines w:val="0"/>
        <w:widowControl/>
        <w:suppressLineNumbers w:val="0"/>
        <w:ind w:firstLine="680" w:firstLineChars="200"/>
        <w:jc w:val="left"/>
      </w:pPr>
      <w:r>
        <w:rPr>
          <w:rFonts w:ascii="仿宋" w:hAnsi="仿宋" w:eastAsia="仿宋" w:cs="仿宋"/>
          <w:color w:val="000000"/>
          <w:kern w:val="0"/>
          <w:sz w:val="34"/>
          <w:szCs w:val="34"/>
          <w:lang w:val="en-US" w:eastAsia="zh-CN" w:bidi="ar"/>
        </w:rPr>
        <w:t>我局内设及归口管理机构有办公室、体育股和旅游股3个股室，局下属单位有差转台、公共</w:t>
      </w:r>
      <w:r>
        <w:rPr>
          <w:rFonts w:hint="eastAsia" w:ascii="仿宋" w:hAnsi="仿宋" w:eastAsia="仿宋" w:cs="仿宋"/>
          <w:color w:val="000000"/>
          <w:kern w:val="0"/>
          <w:sz w:val="34"/>
          <w:szCs w:val="34"/>
          <w:lang w:val="en-US" w:eastAsia="zh-CN" w:bidi="ar"/>
        </w:rPr>
        <w:t xml:space="preserve">图书馆、布楞沟村史馆、全民健身中心、旅游发展中心、文化馆、民族博物馆、民俗博物馆、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民族文化艺术团。</w:t>
      </w:r>
    </w:p>
    <w:p>
      <w:pPr>
        <w:spacing w:line="840" w:lineRule="exact"/>
        <w:ind w:firstLine="883" w:firstLineChars="200"/>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840" w:lineRule="exact"/>
        <w:jc w:val="center"/>
        <w:rPr>
          <w:rFonts w:ascii="仿宋_GB2312" w:hAnsi="黑体" w:eastAsia="仿宋_GB2312"/>
          <w:b/>
          <w:sz w:val="52"/>
          <w:szCs w:val="52"/>
        </w:rPr>
      </w:pPr>
      <w:r>
        <w:rPr>
          <w:rFonts w:hint="eastAsia" w:ascii="仿宋_GB2312" w:eastAsia="仿宋_GB2312"/>
          <w:color w:val="000000"/>
          <w:sz w:val="32"/>
          <w:szCs w:val="32"/>
        </w:rPr>
        <w:t>(本部分共公开</w:t>
      </w:r>
      <w:r>
        <w:rPr>
          <w:rFonts w:ascii="仿宋_GB2312" w:eastAsia="仿宋_GB2312"/>
          <w:color w:val="000000"/>
          <w:sz w:val="32"/>
          <w:szCs w:val="32"/>
        </w:rPr>
        <w:t>10</w:t>
      </w:r>
      <w:r>
        <w:rPr>
          <w:rFonts w:hint="eastAsia" w:ascii="仿宋_GB2312" w:eastAsia="仿宋_GB2312"/>
          <w:color w:val="000000"/>
          <w:sz w:val="32"/>
          <w:szCs w:val="32"/>
        </w:rPr>
        <w:t>张表，具体按通知要求公开，注意表格顺序和连续性)</w:t>
      </w: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keepNext w:val="0"/>
        <w:keepLines w:val="0"/>
        <w:widowControl/>
        <w:suppressLineNumbers w:val="0"/>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2022年预算收入25771005.96元，比上年预算</w:t>
      </w:r>
      <w:r>
        <w:rPr>
          <w:rFonts w:hint="eastAsia" w:ascii="仿宋_GB2312" w:hAnsi="黑体" w:eastAsia="仿宋_GB2312"/>
          <w:sz w:val="32"/>
          <w:szCs w:val="32"/>
          <w:lang w:val="en-US" w:eastAsia="zh-CN"/>
        </w:rPr>
        <w:t>19601957元</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6169048.96</w:t>
      </w:r>
      <w:r>
        <w:rPr>
          <w:rFonts w:hint="eastAsia" w:ascii="仿宋_GB2312" w:hAnsi="黑体" w:eastAsia="仿宋_GB2312"/>
          <w:sz w:val="32"/>
          <w:szCs w:val="32"/>
        </w:rPr>
        <w:t>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31.47</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其中：一般公共预算财政拨款收入25771005.96元，政府性基金预算财政拨款收入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p>
    <w:p>
      <w:pPr>
        <w:keepNext w:val="0"/>
        <w:keepLines w:val="0"/>
        <w:widowControl/>
        <w:suppressLineNumbers w:val="0"/>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预算支出25771005.96元，比上年预算</w:t>
      </w:r>
      <w:r>
        <w:rPr>
          <w:rFonts w:hint="eastAsia" w:ascii="仿宋_GB2312" w:hAnsi="黑体" w:eastAsia="仿宋_GB2312"/>
          <w:sz w:val="32"/>
          <w:szCs w:val="32"/>
          <w:lang w:val="en-US" w:eastAsia="zh-CN"/>
        </w:rPr>
        <w:t>19601957元</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6169048.96</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31.47</w:t>
      </w:r>
      <w:r>
        <w:rPr>
          <w:rFonts w:hint="eastAsia" w:ascii="仿宋_GB2312" w:hAnsi="黑体" w:eastAsia="仿宋_GB2312"/>
          <w:sz w:val="32"/>
          <w:szCs w:val="32"/>
        </w:rPr>
        <w:t>%</w:t>
      </w:r>
      <w:r>
        <w:rPr>
          <w:rFonts w:hint="eastAsia" w:ascii="仿宋_GB2312" w:hAnsi="黑体" w:eastAsia="仿宋_GB2312"/>
          <w:sz w:val="32"/>
          <w:szCs w:val="32"/>
          <w:lang w:eastAsia="zh-CN"/>
        </w:rPr>
        <w:t>，增加</w:t>
      </w:r>
      <w:r>
        <w:rPr>
          <w:rFonts w:hint="eastAsia" w:ascii="仿宋_GB2312" w:hAnsi="黑体" w:eastAsia="仿宋_GB2312"/>
          <w:sz w:val="32"/>
          <w:szCs w:val="32"/>
        </w:rPr>
        <w:t>的主要原因是：一般公共服务支出114540.00元，比上年预</w:t>
      </w:r>
      <w:r>
        <w:rPr>
          <w:rFonts w:hint="eastAsia" w:ascii="仿宋_GB2312" w:hAnsi="黑体" w:eastAsia="仿宋_GB2312"/>
          <w:sz w:val="32"/>
          <w:szCs w:val="32"/>
          <w:lang w:val="en-US" w:eastAsia="zh-CN"/>
        </w:rPr>
        <w:t>算150255 元，</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35715</w:t>
      </w:r>
      <w:r>
        <w:rPr>
          <w:rFonts w:hint="eastAsia" w:ascii="仿宋_GB2312" w:hAnsi="黑体" w:eastAsia="仿宋_GB2312"/>
          <w:sz w:val="32"/>
          <w:szCs w:val="32"/>
          <w:lang w:eastAsia="zh-CN"/>
        </w:rPr>
        <w:t>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23.77</w:t>
      </w:r>
      <w:r>
        <w:rPr>
          <w:rFonts w:hint="eastAsia" w:ascii="仿宋_GB2312" w:hAnsi="黑体" w:eastAsia="仿宋_GB2312"/>
          <w:sz w:val="32"/>
          <w:szCs w:val="32"/>
        </w:rPr>
        <w:t>%</w:t>
      </w:r>
      <w:r>
        <w:rPr>
          <w:rFonts w:hint="eastAsia" w:ascii="仿宋_GB2312" w:hAnsi="黑体" w:eastAsia="仿宋_GB2312"/>
          <w:sz w:val="32"/>
          <w:szCs w:val="32"/>
          <w:lang w:eastAsia="zh-CN"/>
        </w:rPr>
        <w:t>，主要是人员减少；文化旅游体育与传媒支出21615229.00元，</w:t>
      </w:r>
      <w:r>
        <w:rPr>
          <w:rFonts w:hint="eastAsia" w:ascii="仿宋_GB2312" w:hAnsi="黑体" w:eastAsia="仿宋_GB2312"/>
          <w:sz w:val="32"/>
          <w:szCs w:val="32"/>
        </w:rPr>
        <w:t>比上年预</w:t>
      </w:r>
      <w:r>
        <w:rPr>
          <w:rFonts w:hint="eastAsia" w:ascii="仿宋_GB2312" w:hAnsi="黑体" w:eastAsia="仿宋_GB2312"/>
          <w:sz w:val="32"/>
          <w:szCs w:val="32"/>
          <w:lang w:eastAsia="zh-CN"/>
        </w:rPr>
        <w:t>算</w:t>
      </w:r>
      <w:r>
        <w:rPr>
          <w:rFonts w:hint="eastAsia" w:ascii="仿宋_GB2312" w:hAnsi="黑体" w:eastAsia="仿宋_GB2312"/>
          <w:sz w:val="32"/>
          <w:szCs w:val="32"/>
          <w:lang w:val="en-US" w:eastAsia="zh-CN"/>
        </w:rPr>
        <w:t>17662298</w:t>
      </w:r>
      <w:r>
        <w:rPr>
          <w:rFonts w:hint="eastAsia" w:ascii="仿宋_GB2312" w:hAnsi="黑体" w:eastAsia="仿宋_GB2312"/>
          <w:sz w:val="32"/>
          <w:szCs w:val="32"/>
          <w:lang w:eastAsia="zh-CN"/>
        </w:rPr>
        <w:t>元，增加</w:t>
      </w:r>
      <w:r>
        <w:rPr>
          <w:rFonts w:hint="eastAsia" w:ascii="仿宋_GB2312" w:hAnsi="黑体" w:eastAsia="仿宋_GB2312"/>
          <w:sz w:val="32"/>
          <w:szCs w:val="32"/>
          <w:lang w:val="en-US" w:eastAsia="zh-CN"/>
        </w:rPr>
        <w:t>3952931</w:t>
      </w:r>
      <w:r>
        <w:rPr>
          <w:rFonts w:hint="eastAsia" w:ascii="仿宋_GB2312" w:hAnsi="黑体" w:eastAsia="仿宋_GB2312"/>
          <w:sz w:val="32"/>
          <w:szCs w:val="32"/>
          <w:lang w:eastAsia="zh-CN"/>
        </w:rPr>
        <w:t>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22.38</w:t>
      </w:r>
      <w:r>
        <w:rPr>
          <w:rFonts w:hint="eastAsia" w:ascii="仿宋_GB2312" w:hAnsi="黑体" w:eastAsia="仿宋_GB2312"/>
          <w:sz w:val="32"/>
          <w:szCs w:val="32"/>
        </w:rPr>
        <w:t>%</w:t>
      </w:r>
      <w:r>
        <w:rPr>
          <w:rFonts w:hint="eastAsia" w:ascii="仿宋_GB2312" w:hAnsi="黑体" w:eastAsia="仿宋_GB2312"/>
          <w:sz w:val="32"/>
          <w:szCs w:val="32"/>
          <w:lang w:eastAsia="zh-CN"/>
        </w:rPr>
        <w:t>，主要是项目增加；</w:t>
      </w:r>
      <w:r>
        <w:rPr>
          <w:rFonts w:hint="eastAsia" w:ascii="仿宋_GB2312" w:hAnsi="黑体" w:eastAsia="仿宋_GB2312"/>
          <w:sz w:val="32"/>
          <w:szCs w:val="32"/>
        </w:rPr>
        <w:t>社会保障和就业支出1876350.74元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w:t>
      </w:r>
      <w:r>
        <w:rPr>
          <w:rFonts w:hint="eastAsia" w:ascii="仿宋_GB2312" w:hAnsi="黑体" w:eastAsia="仿宋_GB2312"/>
          <w:sz w:val="32"/>
          <w:szCs w:val="32"/>
          <w:lang w:val="en-US" w:eastAsia="zh-CN"/>
        </w:rPr>
        <w:t>1789404</w:t>
      </w:r>
      <w:r>
        <w:rPr>
          <w:rFonts w:hint="eastAsia" w:ascii="仿宋_GB2312" w:hAnsi="黑体" w:eastAsia="仿宋_GB2312"/>
          <w:sz w:val="32"/>
          <w:szCs w:val="32"/>
          <w:lang w:eastAsia="zh-CN"/>
        </w:rPr>
        <w:t>元，增加</w:t>
      </w:r>
      <w:r>
        <w:rPr>
          <w:rFonts w:hint="eastAsia" w:ascii="仿宋_GB2312" w:hAnsi="黑体" w:eastAsia="仿宋_GB2312"/>
          <w:sz w:val="32"/>
          <w:szCs w:val="32"/>
          <w:lang w:val="en-US" w:eastAsia="zh-CN"/>
        </w:rPr>
        <w:t>86946.74</w:t>
      </w:r>
      <w:r>
        <w:rPr>
          <w:rFonts w:hint="eastAsia" w:ascii="仿宋_GB2312" w:hAnsi="黑体" w:eastAsia="仿宋_GB2312"/>
          <w:sz w:val="32"/>
          <w:szCs w:val="32"/>
          <w:lang w:eastAsia="zh-CN"/>
        </w:rPr>
        <w:t>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4.85</w:t>
      </w:r>
      <w:r>
        <w:rPr>
          <w:rFonts w:hint="eastAsia" w:ascii="仿宋_GB2312" w:hAnsi="黑体" w:eastAsia="仿宋_GB2312"/>
          <w:sz w:val="32"/>
          <w:szCs w:val="32"/>
        </w:rPr>
        <w:t>%</w:t>
      </w:r>
      <w:r>
        <w:rPr>
          <w:rFonts w:hint="eastAsia" w:ascii="仿宋_GB2312" w:hAnsi="黑体" w:eastAsia="仿宋_GB2312"/>
          <w:sz w:val="32"/>
          <w:szCs w:val="32"/>
          <w:lang w:eastAsia="zh-CN"/>
        </w:rPr>
        <w:t>，主要是人员工资基数提高；卫生健康支出774996.78元，</w:t>
      </w:r>
      <w:r>
        <w:rPr>
          <w:rFonts w:hint="eastAsia" w:ascii="仿宋_GB2312" w:hAnsi="黑体" w:eastAsia="仿宋_GB2312"/>
          <w:sz w:val="32"/>
          <w:szCs w:val="32"/>
        </w:rPr>
        <w:t>比上年预算</w:t>
      </w:r>
      <w:r>
        <w:rPr>
          <w:rFonts w:hint="eastAsia" w:ascii="仿宋_GB2312" w:hAnsi="黑体" w:eastAsia="仿宋_GB2312"/>
          <w:sz w:val="32"/>
          <w:szCs w:val="32"/>
          <w:lang w:val="en-US" w:eastAsia="zh-CN"/>
        </w:rPr>
        <w:t>0</w:t>
      </w:r>
      <w:r>
        <w:rPr>
          <w:rFonts w:hint="eastAsia" w:ascii="仿宋_GB2312" w:hAnsi="黑体" w:eastAsia="仿宋_GB2312"/>
          <w:sz w:val="32"/>
          <w:szCs w:val="32"/>
          <w:lang w:eastAsia="zh-CN"/>
        </w:rPr>
        <w:t>元，增加774996.78元，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，主要是机关事业单位基本养老保险缴费支出增加；住房保障支出增加1389889.44元。</w:t>
      </w:r>
      <w:r>
        <w:rPr>
          <w:rFonts w:hint="eastAsia" w:ascii="仿宋_GB2312" w:hAnsi="黑体" w:eastAsia="仿宋_GB2312"/>
          <w:sz w:val="32"/>
          <w:szCs w:val="32"/>
        </w:rPr>
        <w:t>比上年预算</w:t>
      </w:r>
      <w:r>
        <w:rPr>
          <w:rFonts w:hint="eastAsia" w:ascii="仿宋_GB2312" w:hAnsi="黑体" w:eastAsia="仿宋_GB2312"/>
          <w:sz w:val="32"/>
          <w:szCs w:val="32"/>
          <w:lang w:val="en-US" w:eastAsia="zh-CN"/>
        </w:rPr>
        <w:t>0</w:t>
      </w:r>
      <w:r>
        <w:rPr>
          <w:rFonts w:hint="eastAsia" w:ascii="仿宋_GB2312" w:hAnsi="黑体" w:eastAsia="仿宋_GB2312"/>
          <w:sz w:val="32"/>
          <w:szCs w:val="32"/>
          <w:lang w:eastAsia="zh-CN"/>
        </w:rPr>
        <w:t>元，增加</w:t>
      </w:r>
      <w:r>
        <w:rPr>
          <w:rFonts w:hint="eastAsia" w:ascii="仿宋_GB2312" w:hAnsi="黑体" w:eastAsia="仿宋_GB2312"/>
          <w:sz w:val="32"/>
          <w:szCs w:val="32"/>
          <w:lang w:val="en-US" w:eastAsia="zh-CN"/>
        </w:rPr>
        <w:t>1389889.44</w:t>
      </w:r>
      <w:r>
        <w:rPr>
          <w:rFonts w:hint="eastAsia" w:ascii="仿宋_GB2312" w:hAnsi="黑体" w:eastAsia="仿宋_GB2312"/>
          <w:sz w:val="32"/>
          <w:szCs w:val="32"/>
          <w:lang w:eastAsia="zh-CN"/>
        </w:rPr>
        <w:t>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，主要是住房公积金人员增加。</w:t>
      </w:r>
    </w:p>
    <w:p>
      <w:pPr>
        <w:keepNext w:val="0"/>
        <w:keepLines w:val="0"/>
        <w:widowControl/>
        <w:suppressLineNumbers w:val="0"/>
        <w:ind w:firstLine="640" w:firstLineChars="200"/>
        <w:jc w:val="left"/>
        <w:rPr>
          <w:rFonts w:ascii="仿宋_GB2312" w:hAnsi="宋体" w:eastAsia="仿宋_GB2312"/>
          <w:sz w:val="32"/>
          <w:szCs w:val="32"/>
        </w:rPr>
      </w:pPr>
    </w:p>
    <w:p>
      <w:pPr>
        <w:spacing w:line="640" w:lineRule="exact"/>
        <w:ind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支出按功能分类科目安排为：</w:t>
      </w:r>
    </w:p>
    <w:p>
      <w:pPr>
        <w:keepNext w:val="0"/>
        <w:keepLines w:val="0"/>
        <w:widowControl/>
        <w:suppressLineNumbers w:val="0"/>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一般公共服务支出114540.00元，比上年预</w:t>
      </w:r>
      <w:r>
        <w:rPr>
          <w:rFonts w:hint="eastAsia" w:ascii="仿宋_GB2312" w:hAnsi="黑体" w:eastAsia="仿宋_GB2312"/>
          <w:sz w:val="32"/>
          <w:szCs w:val="32"/>
          <w:lang w:val="en-US" w:eastAsia="zh-CN"/>
        </w:rPr>
        <w:t>算150255 元，</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35715</w:t>
      </w:r>
      <w:r>
        <w:rPr>
          <w:rFonts w:hint="eastAsia" w:ascii="仿宋_GB2312" w:hAnsi="黑体" w:eastAsia="仿宋_GB2312"/>
          <w:sz w:val="32"/>
          <w:szCs w:val="32"/>
          <w:lang w:eastAsia="zh-CN"/>
        </w:rPr>
        <w:t>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23.77</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其中：财政拨款114540.00元，比上年预算数</w:t>
      </w:r>
      <w:r>
        <w:rPr>
          <w:rFonts w:hint="eastAsia" w:ascii="仿宋_GB2312" w:hAnsi="黑体" w:eastAsia="仿宋_GB2312"/>
          <w:sz w:val="32"/>
          <w:szCs w:val="32"/>
          <w:lang w:val="en-US" w:eastAsia="zh-CN"/>
        </w:rPr>
        <w:t>150255 元，</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35715</w:t>
      </w:r>
      <w:r>
        <w:rPr>
          <w:rFonts w:hint="eastAsia" w:ascii="仿宋_GB2312" w:hAnsi="黑体" w:eastAsia="仿宋_GB2312"/>
          <w:sz w:val="32"/>
          <w:szCs w:val="32"/>
          <w:lang w:eastAsia="zh-CN"/>
        </w:rPr>
        <w:t>元</w:t>
      </w:r>
      <w:r>
        <w:rPr>
          <w:rFonts w:hint="eastAsia" w:ascii="仿宋_GB2312" w:hAnsi="黑体" w:eastAsia="仿宋_GB2312"/>
          <w:sz w:val="32"/>
          <w:szCs w:val="32"/>
        </w:rPr>
        <w:t>。</w:t>
      </w:r>
    </w:p>
    <w:p>
      <w:pPr>
        <w:keepNext w:val="0"/>
        <w:keepLines w:val="0"/>
        <w:widowControl/>
        <w:suppressLineNumbers w:val="0"/>
        <w:ind w:firstLine="640" w:firstLineChars="200"/>
        <w:jc w:val="left"/>
        <w:rPr>
          <w:rFonts w:hint="eastAsia" w:ascii="仿宋_GB2312" w:hAnsi="黑体" w:eastAsia="仿宋_GB2312"/>
          <w:sz w:val="32"/>
          <w:szCs w:val="32"/>
          <w:lang w:eastAsia="zh-CN"/>
        </w:rPr>
      </w:pPr>
      <w:r>
        <w:rPr>
          <w:rFonts w:hint="eastAsia" w:ascii="仿宋_GB2312" w:hAnsi="黑体" w:eastAsia="仿宋_GB2312"/>
          <w:sz w:val="32"/>
          <w:szCs w:val="32"/>
          <w:lang w:eastAsia="zh-CN"/>
        </w:rPr>
        <w:t>文化旅游体育与传媒支出21615229.00元，</w:t>
      </w:r>
      <w:r>
        <w:rPr>
          <w:rFonts w:hint="eastAsia" w:ascii="仿宋_GB2312" w:hAnsi="黑体" w:eastAsia="仿宋_GB2312"/>
          <w:sz w:val="32"/>
          <w:szCs w:val="32"/>
        </w:rPr>
        <w:t>比上年预</w:t>
      </w:r>
      <w:r>
        <w:rPr>
          <w:rFonts w:hint="eastAsia" w:ascii="仿宋_GB2312" w:hAnsi="黑体" w:eastAsia="仿宋_GB2312"/>
          <w:sz w:val="32"/>
          <w:szCs w:val="32"/>
          <w:lang w:eastAsia="zh-CN"/>
        </w:rPr>
        <w:t>算</w:t>
      </w:r>
      <w:r>
        <w:rPr>
          <w:rFonts w:hint="eastAsia" w:ascii="仿宋_GB2312" w:hAnsi="黑体" w:eastAsia="仿宋_GB2312"/>
          <w:sz w:val="32"/>
          <w:szCs w:val="32"/>
          <w:lang w:val="en-US" w:eastAsia="zh-CN"/>
        </w:rPr>
        <w:t>17662298</w:t>
      </w:r>
      <w:r>
        <w:rPr>
          <w:rFonts w:hint="eastAsia" w:ascii="仿宋_GB2312" w:hAnsi="黑体" w:eastAsia="仿宋_GB2312"/>
          <w:sz w:val="32"/>
          <w:szCs w:val="32"/>
          <w:lang w:eastAsia="zh-CN"/>
        </w:rPr>
        <w:t>元，增加</w:t>
      </w:r>
      <w:r>
        <w:rPr>
          <w:rFonts w:hint="eastAsia" w:ascii="仿宋_GB2312" w:hAnsi="黑体" w:eastAsia="仿宋_GB2312"/>
          <w:sz w:val="32"/>
          <w:szCs w:val="32"/>
          <w:lang w:val="en-US" w:eastAsia="zh-CN"/>
        </w:rPr>
        <w:t>3952931</w:t>
      </w:r>
      <w:r>
        <w:rPr>
          <w:rFonts w:hint="eastAsia" w:ascii="仿宋_GB2312" w:hAnsi="黑体" w:eastAsia="仿宋_GB2312"/>
          <w:sz w:val="32"/>
          <w:szCs w:val="32"/>
          <w:lang w:eastAsia="zh-CN"/>
        </w:rPr>
        <w:t>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22.38</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其中：财政拨款</w:t>
      </w:r>
      <w:r>
        <w:rPr>
          <w:rFonts w:hint="eastAsia" w:ascii="仿宋_GB2312" w:hAnsi="黑体" w:eastAsia="仿宋_GB2312"/>
          <w:sz w:val="32"/>
          <w:szCs w:val="32"/>
          <w:lang w:eastAsia="zh-CN"/>
        </w:rPr>
        <w:t>21615229.00元，</w:t>
      </w:r>
      <w:r>
        <w:rPr>
          <w:rFonts w:hint="eastAsia" w:ascii="仿宋_GB2312" w:hAnsi="黑体" w:eastAsia="仿宋_GB2312"/>
          <w:sz w:val="32"/>
          <w:szCs w:val="32"/>
        </w:rPr>
        <w:t>比上年预</w:t>
      </w:r>
      <w:r>
        <w:rPr>
          <w:rFonts w:hint="eastAsia" w:ascii="仿宋_GB2312" w:hAnsi="黑体" w:eastAsia="仿宋_GB2312"/>
          <w:sz w:val="32"/>
          <w:szCs w:val="32"/>
          <w:lang w:eastAsia="zh-CN"/>
        </w:rPr>
        <w:t>算</w:t>
      </w:r>
      <w:r>
        <w:rPr>
          <w:rFonts w:hint="eastAsia" w:ascii="仿宋_GB2312" w:hAnsi="黑体" w:eastAsia="仿宋_GB2312"/>
          <w:sz w:val="32"/>
          <w:szCs w:val="32"/>
          <w:lang w:val="en-US" w:eastAsia="zh-CN"/>
        </w:rPr>
        <w:t>17662298</w:t>
      </w:r>
      <w:r>
        <w:rPr>
          <w:rFonts w:hint="eastAsia" w:ascii="仿宋_GB2312" w:hAnsi="黑体" w:eastAsia="仿宋_GB2312"/>
          <w:sz w:val="32"/>
          <w:szCs w:val="32"/>
          <w:lang w:eastAsia="zh-CN"/>
        </w:rPr>
        <w:t>元，增加</w:t>
      </w:r>
      <w:r>
        <w:rPr>
          <w:rFonts w:hint="eastAsia" w:ascii="仿宋_GB2312" w:hAnsi="黑体" w:eastAsia="仿宋_GB2312"/>
          <w:sz w:val="32"/>
          <w:szCs w:val="32"/>
          <w:lang w:val="en-US" w:eastAsia="zh-CN"/>
        </w:rPr>
        <w:t>3952931</w:t>
      </w:r>
      <w:r>
        <w:rPr>
          <w:rFonts w:hint="eastAsia" w:ascii="仿宋_GB2312" w:hAnsi="黑体" w:eastAsia="仿宋_GB2312"/>
          <w:sz w:val="32"/>
          <w:szCs w:val="32"/>
          <w:lang w:eastAsia="zh-CN"/>
        </w:rPr>
        <w:t>元</w:t>
      </w:r>
      <w:r>
        <w:rPr>
          <w:rFonts w:hint="eastAsia" w:ascii="仿宋_GB2312" w:hAnsi="黑体" w:eastAsia="仿宋_GB2312"/>
          <w:sz w:val="32"/>
          <w:szCs w:val="32"/>
        </w:rPr>
        <w:t>。</w:t>
      </w:r>
    </w:p>
    <w:p>
      <w:pPr>
        <w:keepNext w:val="0"/>
        <w:keepLines w:val="0"/>
        <w:widowControl/>
        <w:suppressLineNumbers w:val="0"/>
        <w:ind w:firstLine="640" w:firstLineChars="200"/>
        <w:jc w:val="left"/>
        <w:rPr>
          <w:rFonts w:hint="eastAsia" w:ascii="仿宋_GB2312" w:hAnsi="黑体" w:eastAsia="仿宋_GB2312"/>
          <w:sz w:val="32"/>
          <w:szCs w:val="32"/>
          <w:lang w:eastAsia="zh-CN"/>
        </w:rPr>
      </w:pPr>
      <w:r>
        <w:rPr>
          <w:rFonts w:hint="eastAsia" w:ascii="仿宋_GB2312" w:hAnsi="黑体" w:eastAsia="仿宋_GB2312"/>
          <w:sz w:val="32"/>
          <w:szCs w:val="32"/>
        </w:rPr>
        <w:t>社会保障和就业支出1876350.74元.比上年预算</w:t>
      </w:r>
      <w:r>
        <w:rPr>
          <w:rFonts w:hint="eastAsia" w:ascii="仿宋_GB2312" w:hAnsi="黑体" w:eastAsia="仿宋_GB2312"/>
          <w:sz w:val="32"/>
          <w:szCs w:val="32"/>
          <w:lang w:val="en-US" w:eastAsia="zh-CN"/>
        </w:rPr>
        <w:t>1789404</w:t>
      </w:r>
      <w:r>
        <w:rPr>
          <w:rFonts w:hint="eastAsia" w:ascii="仿宋_GB2312" w:hAnsi="黑体" w:eastAsia="仿宋_GB2312"/>
          <w:sz w:val="32"/>
          <w:szCs w:val="32"/>
          <w:lang w:eastAsia="zh-CN"/>
        </w:rPr>
        <w:t>元，增加</w:t>
      </w:r>
      <w:r>
        <w:rPr>
          <w:rFonts w:hint="eastAsia" w:ascii="仿宋_GB2312" w:hAnsi="黑体" w:eastAsia="仿宋_GB2312"/>
          <w:sz w:val="32"/>
          <w:szCs w:val="32"/>
          <w:lang w:val="en-US" w:eastAsia="zh-CN"/>
        </w:rPr>
        <w:t>86946.74</w:t>
      </w:r>
      <w:r>
        <w:rPr>
          <w:rFonts w:hint="eastAsia" w:ascii="仿宋_GB2312" w:hAnsi="黑体" w:eastAsia="仿宋_GB2312"/>
          <w:sz w:val="32"/>
          <w:szCs w:val="32"/>
          <w:lang w:eastAsia="zh-CN"/>
        </w:rPr>
        <w:t>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4.85</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其中：财政拨款1876350.74元.比上年预算</w:t>
      </w:r>
      <w:r>
        <w:rPr>
          <w:rFonts w:hint="eastAsia" w:ascii="仿宋_GB2312" w:hAnsi="黑体" w:eastAsia="仿宋_GB2312"/>
          <w:sz w:val="32"/>
          <w:szCs w:val="32"/>
          <w:lang w:val="en-US" w:eastAsia="zh-CN"/>
        </w:rPr>
        <w:t>1789404</w:t>
      </w:r>
      <w:r>
        <w:rPr>
          <w:rFonts w:hint="eastAsia" w:ascii="仿宋_GB2312" w:hAnsi="黑体" w:eastAsia="仿宋_GB2312"/>
          <w:sz w:val="32"/>
          <w:szCs w:val="32"/>
          <w:lang w:eastAsia="zh-CN"/>
        </w:rPr>
        <w:t>元，增加</w:t>
      </w:r>
      <w:r>
        <w:rPr>
          <w:rFonts w:hint="eastAsia" w:ascii="仿宋_GB2312" w:hAnsi="黑体" w:eastAsia="仿宋_GB2312"/>
          <w:sz w:val="32"/>
          <w:szCs w:val="32"/>
          <w:lang w:val="en-US" w:eastAsia="zh-CN"/>
        </w:rPr>
        <w:t>86946.74</w:t>
      </w:r>
      <w:r>
        <w:rPr>
          <w:rFonts w:hint="eastAsia" w:ascii="仿宋_GB2312" w:hAnsi="黑体" w:eastAsia="仿宋_GB2312"/>
          <w:sz w:val="32"/>
          <w:szCs w:val="32"/>
          <w:lang w:eastAsia="zh-CN"/>
        </w:rPr>
        <w:t>元。</w:t>
      </w:r>
    </w:p>
    <w:p>
      <w:pPr>
        <w:keepNext w:val="0"/>
        <w:keepLines w:val="0"/>
        <w:widowControl/>
        <w:suppressLineNumbers w:val="0"/>
        <w:ind w:firstLine="640" w:firstLineChars="200"/>
        <w:jc w:val="left"/>
        <w:rPr>
          <w:rFonts w:hint="eastAsia" w:ascii="仿宋_GB2312" w:hAnsi="黑体" w:eastAsia="仿宋_GB2312"/>
          <w:sz w:val="32"/>
          <w:szCs w:val="32"/>
          <w:lang w:eastAsia="zh-CN"/>
        </w:rPr>
      </w:pPr>
      <w:r>
        <w:rPr>
          <w:rFonts w:hint="eastAsia" w:ascii="仿宋_GB2312" w:hAnsi="黑体" w:eastAsia="仿宋_GB2312"/>
          <w:sz w:val="32"/>
          <w:szCs w:val="32"/>
          <w:lang w:eastAsia="zh-CN"/>
        </w:rPr>
        <w:t>卫生健康支出774996.78元，</w:t>
      </w:r>
      <w:r>
        <w:rPr>
          <w:rFonts w:hint="eastAsia" w:ascii="仿宋_GB2312" w:hAnsi="黑体" w:eastAsia="仿宋_GB2312"/>
          <w:sz w:val="32"/>
          <w:szCs w:val="32"/>
        </w:rPr>
        <w:t>比上年预算</w:t>
      </w:r>
      <w:r>
        <w:rPr>
          <w:rFonts w:hint="eastAsia" w:ascii="仿宋_GB2312" w:hAnsi="黑体" w:eastAsia="仿宋_GB2312"/>
          <w:sz w:val="32"/>
          <w:szCs w:val="32"/>
          <w:lang w:val="en-US" w:eastAsia="zh-CN"/>
        </w:rPr>
        <w:t>0</w:t>
      </w:r>
      <w:r>
        <w:rPr>
          <w:rFonts w:hint="eastAsia" w:ascii="仿宋_GB2312" w:hAnsi="黑体" w:eastAsia="仿宋_GB2312"/>
          <w:sz w:val="32"/>
          <w:szCs w:val="32"/>
          <w:lang w:eastAsia="zh-CN"/>
        </w:rPr>
        <w:t>元，增加774996.78元，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其中：财政拨款</w:t>
      </w:r>
      <w:r>
        <w:rPr>
          <w:rFonts w:hint="eastAsia" w:ascii="仿宋_GB2312" w:hAnsi="黑体" w:eastAsia="仿宋_GB2312"/>
          <w:sz w:val="32"/>
          <w:szCs w:val="32"/>
          <w:lang w:eastAsia="zh-CN"/>
        </w:rPr>
        <w:t>774996.78元，</w:t>
      </w:r>
      <w:r>
        <w:rPr>
          <w:rFonts w:hint="eastAsia" w:ascii="仿宋_GB2312" w:hAnsi="黑体" w:eastAsia="仿宋_GB2312"/>
          <w:sz w:val="32"/>
          <w:szCs w:val="32"/>
        </w:rPr>
        <w:t>比上年预算</w:t>
      </w:r>
      <w:r>
        <w:rPr>
          <w:rFonts w:hint="eastAsia" w:ascii="仿宋_GB2312" w:hAnsi="黑体" w:eastAsia="仿宋_GB2312"/>
          <w:sz w:val="32"/>
          <w:szCs w:val="32"/>
          <w:lang w:val="en-US" w:eastAsia="zh-CN"/>
        </w:rPr>
        <w:t>0</w:t>
      </w:r>
      <w:r>
        <w:rPr>
          <w:rFonts w:hint="eastAsia" w:ascii="仿宋_GB2312" w:hAnsi="黑体" w:eastAsia="仿宋_GB2312"/>
          <w:sz w:val="32"/>
          <w:szCs w:val="32"/>
          <w:lang w:eastAsia="zh-CN"/>
        </w:rPr>
        <w:t>元，增加774996.78元。</w:t>
      </w:r>
    </w:p>
    <w:p>
      <w:pPr>
        <w:keepNext w:val="0"/>
        <w:keepLines w:val="0"/>
        <w:widowControl/>
        <w:suppressLineNumbers w:val="0"/>
        <w:ind w:firstLine="640" w:firstLineChars="200"/>
        <w:jc w:val="left"/>
        <w:rPr>
          <w:rFonts w:hint="eastAsia" w:ascii="仿宋_GB2312" w:hAnsi="黑体" w:eastAsia="仿宋_GB2312"/>
          <w:sz w:val="32"/>
          <w:szCs w:val="32"/>
          <w:lang w:eastAsia="zh-CN"/>
        </w:rPr>
      </w:pPr>
      <w:r>
        <w:rPr>
          <w:rFonts w:hint="eastAsia" w:ascii="仿宋_GB2312" w:hAnsi="黑体" w:eastAsia="仿宋_GB2312"/>
          <w:sz w:val="32"/>
          <w:szCs w:val="32"/>
          <w:lang w:eastAsia="zh-CN"/>
        </w:rPr>
        <w:t>住房保障支出1389889.44元。</w:t>
      </w:r>
      <w:r>
        <w:rPr>
          <w:rFonts w:hint="eastAsia" w:ascii="仿宋_GB2312" w:hAnsi="黑体" w:eastAsia="仿宋_GB2312"/>
          <w:sz w:val="32"/>
          <w:szCs w:val="32"/>
        </w:rPr>
        <w:t>比上年预算</w:t>
      </w:r>
      <w:r>
        <w:rPr>
          <w:rFonts w:hint="eastAsia" w:ascii="仿宋_GB2312" w:hAnsi="黑体" w:eastAsia="仿宋_GB2312"/>
          <w:sz w:val="32"/>
          <w:szCs w:val="32"/>
          <w:lang w:val="en-US" w:eastAsia="zh-CN"/>
        </w:rPr>
        <w:t>0</w:t>
      </w:r>
      <w:r>
        <w:rPr>
          <w:rFonts w:hint="eastAsia" w:ascii="仿宋_GB2312" w:hAnsi="黑体" w:eastAsia="仿宋_GB2312"/>
          <w:sz w:val="32"/>
          <w:szCs w:val="32"/>
          <w:lang w:eastAsia="zh-CN"/>
        </w:rPr>
        <w:t>元，增加</w:t>
      </w:r>
      <w:r>
        <w:rPr>
          <w:rFonts w:hint="eastAsia" w:ascii="仿宋_GB2312" w:hAnsi="黑体" w:eastAsia="仿宋_GB2312"/>
          <w:sz w:val="32"/>
          <w:szCs w:val="32"/>
          <w:lang w:val="en-US" w:eastAsia="zh-CN"/>
        </w:rPr>
        <w:t>1389889.44</w:t>
      </w:r>
      <w:r>
        <w:rPr>
          <w:rFonts w:hint="eastAsia" w:ascii="仿宋_GB2312" w:hAnsi="黑体" w:eastAsia="仿宋_GB2312"/>
          <w:sz w:val="32"/>
          <w:szCs w:val="32"/>
          <w:lang w:eastAsia="zh-CN"/>
        </w:rPr>
        <w:t>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其中：财政拨款</w:t>
      </w:r>
      <w:r>
        <w:rPr>
          <w:rFonts w:hint="eastAsia" w:ascii="仿宋_GB2312" w:hAnsi="黑体" w:eastAsia="仿宋_GB2312"/>
          <w:sz w:val="32"/>
          <w:szCs w:val="32"/>
          <w:lang w:eastAsia="zh-CN"/>
        </w:rPr>
        <w:t>1389889.44元。</w:t>
      </w:r>
      <w:r>
        <w:rPr>
          <w:rFonts w:hint="eastAsia" w:ascii="仿宋_GB2312" w:hAnsi="黑体" w:eastAsia="仿宋_GB2312"/>
          <w:sz w:val="32"/>
          <w:szCs w:val="32"/>
        </w:rPr>
        <w:t>比上年预算</w:t>
      </w:r>
      <w:r>
        <w:rPr>
          <w:rFonts w:hint="eastAsia" w:ascii="仿宋_GB2312" w:hAnsi="黑体" w:eastAsia="仿宋_GB2312"/>
          <w:sz w:val="32"/>
          <w:szCs w:val="32"/>
          <w:lang w:val="en-US" w:eastAsia="zh-CN"/>
        </w:rPr>
        <w:t>0</w:t>
      </w:r>
      <w:r>
        <w:rPr>
          <w:rFonts w:hint="eastAsia" w:ascii="仿宋_GB2312" w:hAnsi="黑体" w:eastAsia="仿宋_GB2312"/>
          <w:sz w:val="32"/>
          <w:szCs w:val="32"/>
          <w:lang w:eastAsia="zh-CN"/>
        </w:rPr>
        <w:t>元，增加</w:t>
      </w:r>
      <w:r>
        <w:rPr>
          <w:rFonts w:hint="eastAsia" w:ascii="仿宋_GB2312" w:hAnsi="黑体" w:eastAsia="仿宋_GB2312"/>
          <w:sz w:val="32"/>
          <w:szCs w:val="32"/>
          <w:lang w:val="en-US" w:eastAsia="zh-CN"/>
        </w:rPr>
        <w:t>1389889.44</w:t>
      </w:r>
      <w:r>
        <w:rPr>
          <w:rFonts w:hint="eastAsia" w:ascii="仿宋_GB2312" w:hAnsi="黑体" w:eastAsia="仿宋_GB2312"/>
          <w:sz w:val="32"/>
          <w:szCs w:val="32"/>
          <w:lang w:eastAsia="zh-CN"/>
        </w:rPr>
        <w:t>元。</w:t>
      </w:r>
    </w:p>
    <w:p>
      <w:pPr>
        <w:spacing w:line="640" w:lineRule="exact"/>
        <w:ind w:firstLine="640" w:firstLineChars="200"/>
        <w:rPr>
          <w:rFonts w:hint="eastAsia" w:ascii="仿宋_GB2312" w:hAnsi="宋体" w:eastAsia="仿宋_GB2312"/>
          <w:sz w:val="32"/>
          <w:szCs w:val="32"/>
        </w:rPr>
      </w:pPr>
    </w:p>
    <w:p>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支出按经济分类科目安排为：</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工资福利支出19492055.96元，商品和服务324000.00元，对个人和家庭的补助</w:t>
      </w:r>
      <w:r>
        <w:rPr>
          <w:rFonts w:hint="eastAsia" w:ascii="仿宋_GB2312" w:hAnsi="宋体" w:eastAsia="仿宋_GB2312"/>
          <w:sz w:val="32"/>
          <w:szCs w:val="32"/>
          <w:lang w:val="en-US" w:eastAsia="zh-CN"/>
        </w:rPr>
        <w:t>0</w:t>
      </w:r>
      <w:r>
        <w:rPr>
          <w:rFonts w:hint="eastAsia" w:ascii="仿宋_GB2312" w:hAnsi="宋体" w:eastAsia="仿宋_GB2312"/>
          <w:sz w:val="32"/>
          <w:szCs w:val="32"/>
        </w:rPr>
        <w:t>元，基本建设支出</w:t>
      </w:r>
      <w:r>
        <w:rPr>
          <w:rFonts w:hint="eastAsia" w:ascii="仿宋_GB2312" w:hAnsi="宋体" w:eastAsia="仿宋_GB2312"/>
          <w:sz w:val="32"/>
          <w:szCs w:val="32"/>
          <w:lang w:val="en-US" w:eastAsia="zh-CN"/>
        </w:rPr>
        <w:t>5954950</w:t>
      </w:r>
      <w:r>
        <w:rPr>
          <w:rFonts w:hint="eastAsia" w:ascii="仿宋_GB2312" w:hAnsi="宋体" w:eastAsia="仿宋_GB2312"/>
          <w:sz w:val="32"/>
          <w:szCs w:val="32"/>
        </w:rPr>
        <w:t>元。</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spacing w:line="640" w:lineRule="exact"/>
        <w:ind w:firstLine="643" w:firstLineChars="200"/>
        <w:rPr>
          <w:rFonts w:hint="eastAsia" w:ascii="仿宋_GB2312" w:hAnsi="宋体" w:eastAsia="仿宋_GB2312"/>
          <w:sz w:val="32"/>
          <w:szCs w:val="32"/>
          <w:highlight w:val="none"/>
        </w:rPr>
      </w:pPr>
      <w:r>
        <w:rPr>
          <w:rFonts w:hint="eastAsia" w:ascii="楷体_GB2312" w:hAnsi="黑体" w:eastAsia="楷体_GB2312"/>
          <w:b/>
          <w:sz w:val="32"/>
          <w:szCs w:val="32"/>
          <w:highlight w:val="none"/>
        </w:rPr>
        <w:t>（一）一般公共服务支出（类）</w:t>
      </w:r>
      <w:r>
        <w:rPr>
          <w:rFonts w:hint="eastAsia" w:ascii="楷体_GB2312" w:hAnsi="黑体" w:eastAsia="楷体_GB2312"/>
          <w:b/>
          <w:sz w:val="32"/>
          <w:szCs w:val="32"/>
          <w:highlight w:val="none"/>
          <w:lang w:val="en-US" w:eastAsia="zh-CN"/>
        </w:rPr>
        <w:t>群众团体事务</w:t>
      </w:r>
      <w:r>
        <w:rPr>
          <w:rFonts w:hint="eastAsia" w:ascii="楷体_GB2312" w:hAnsi="黑体" w:eastAsia="楷体_GB2312"/>
          <w:b/>
          <w:sz w:val="32"/>
          <w:szCs w:val="32"/>
          <w:highlight w:val="none"/>
        </w:rPr>
        <w:t>（款）</w:t>
      </w:r>
      <w:r>
        <w:rPr>
          <w:rFonts w:hint="eastAsia" w:ascii="仿宋_GB2312" w:hAnsi="黑体" w:eastAsia="仿宋_GB2312"/>
          <w:sz w:val="32"/>
          <w:szCs w:val="32"/>
          <w:highlight w:val="none"/>
        </w:rPr>
        <w:t>2022年预算支出114540.00元，比上年预算</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23.76%</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其中：</w:t>
      </w:r>
      <w:r>
        <w:rPr>
          <w:rFonts w:hint="eastAsia" w:ascii="楷体_GB2312" w:hAnsi="黑体" w:eastAsia="楷体_GB2312"/>
          <w:b w:val="0"/>
          <w:bCs/>
          <w:sz w:val="32"/>
          <w:szCs w:val="32"/>
          <w:highlight w:val="none"/>
          <w:lang w:val="en-US" w:eastAsia="zh-CN"/>
        </w:rPr>
        <w:t>工会事务</w:t>
      </w:r>
      <w:r>
        <w:rPr>
          <w:rFonts w:hint="eastAsia" w:ascii="仿宋_GB2312" w:hAnsi="黑体" w:eastAsia="仿宋_GB2312"/>
          <w:sz w:val="32"/>
          <w:szCs w:val="32"/>
          <w:highlight w:val="none"/>
        </w:rPr>
        <w:t>（项）2022年预算支出114540.00元，比上年预算</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23.76%,人员减少</w:t>
      </w:r>
      <w:r>
        <w:rPr>
          <w:rFonts w:hint="eastAsia" w:ascii="仿宋_GB2312" w:hAnsi="宋体" w:eastAsia="仿宋_GB2312"/>
          <w:sz w:val="32"/>
          <w:szCs w:val="32"/>
          <w:highlight w:val="none"/>
        </w:rPr>
        <w:t>。</w:t>
      </w:r>
    </w:p>
    <w:p>
      <w:pPr>
        <w:spacing w:line="640" w:lineRule="exact"/>
        <w:ind w:firstLine="643" w:firstLineChars="200"/>
        <w:rPr>
          <w:rFonts w:hint="default" w:ascii="仿宋_GB2312" w:hAnsi="黑体" w:eastAsia="仿宋_GB2312"/>
          <w:sz w:val="32"/>
          <w:szCs w:val="32"/>
          <w:highlight w:val="none"/>
          <w:lang w:val="en-US" w:eastAsia="zh-CN"/>
        </w:rPr>
      </w:pPr>
      <w:r>
        <w:rPr>
          <w:rFonts w:hint="eastAsia" w:ascii="楷体_GB2312" w:hAnsi="黑体" w:eastAsia="楷体_GB2312"/>
          <w:b/>
          <w:sz w:val="32"/>
          <w:szCs w:val="32"/>
          <w:highlight w:val="none"/>
        </w:rPr>
        <w:t>（</w:t>
      </w:r>
      <w:r>
        <w:rPr>
          <w:rFonts w:hint="eastAsia" w:ascii="楷体_GB2312" w:hAnsi="黑体" w:eastAsia="楷体_GB2312"/>
          <w:b/>
          <w:sz w:val="32"/>
          <w:szCs w:val="32"/>
          <w:highlight w:val="none"/>
          <w:lang w:eastAsia="zh-CN"/>
        </w:rPr>
        <w:t>二</w:t>
      </w:r>
      <w:r>
        <w:rPr>
          <w:rFonts w:hint="eastAsia" w:ascii="楷体_GB2312" w:hAnsi="黑体" w:eastAsia="楷体_GB2312"/>
          <w:b/>
          <w:sz w:val="32"/>
          <w:szCs w:val="32"/>
          <w:highlight w:val="none"/>
        </w:rPr>
        <w:t>）</w:t>
      </w:r>
      <w:r>
        <w:rPr>
          <w:rFonts w:hint="eastAsia" w:ascii="仿宋_GB2312" w:hAnsi="宋体" w:eastAsia="仿宋_GB2312"/>
          <w:b/>
          <w:bCs/>
          <w:sz w:val="32"/>
          <w:szCs w:val="32"/>
          <w:highlight w:val="none"/>
        </w:rPr>
        <w:t>文化旅游体育与传媒支出</w:t>
      </w:r>
      <w:r>
        <w:rPr>
          <w:rFonts w:hint="eastAsia" w:ascii="仿宋_GB2312" w:hAnsi="宋体" w:eastAsia="仿宋_GB2312"/>
          <w:b/>
          <w:bCs/>
          <w:sz w:val="32"/>
          <w:szCs w:val="32"/>
          <w:highlight w:val="none"/>
          <w:lang w:eastAsia="zh-CN"/>
        </w:rPr>
        <w:t>（类）文化和旅游（款）</w:t>
      </w:r>
      <w:r>
        <w:rPr>
          <w:rFonts w:hint="eastAsia" w:ascii="仿宋_GB2312" w:hAnsi="黑体" w:eastAsia="仿宋_GB2312"/>
          <w:sz w:val="32"/>
          <w:szCs w:val="32"/>
          <w:highlight w:val="none"/>
        </w:rPr>
        <w:t>2022年预算支出18587929.00</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rPr>
        <w:t>比上年预算</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23.31%。其中：行政运行（项）</w:t>
      </w:r>
      <w:r>
        <w:rPr>
          <w:rFonts w:hint="eastAsia" w:ascii="仿宋_GB2312" w:hAnsi="黑体" w:eastAsia="仿宋_GB2312"/>
          <w:sz w:val="32"/>
          <w:szCs w:val="32"/>
          <w:highlight w:val="none"/>
        </w:rPr>
        <w:t>2022年预算支出16042729.00</w:t>
      </w:r>
      <w:r>
        <w:rPr>
          <w:rFonts w:hint="eastAsia" w:ascii="仿宋_GB2312" w:hAnsi="黑体" w:eastAsia="仿宋_GB2312"/>
          <w:sz w:val="32"/>
          <w:szCs w:val="32"/>
          <w:highlight w:val="none"/>
          <w:lang w:eastAsia="zh-CN"/>
        </w:rPr>
        <w:t>元，比</w:t>
      </w:r>
      <w:r>
        <w:rPr>
          <w:rFonts w:hint="eastAsia" w:ascii="仿宋_GB2312" w:hAnsi="黑体" w:eastAsia="仿宋_GB2312"/>
          <w:sz w:val="32"/>
          <w:szCs w:val="32"/>
          <w:highlight w:val="none"/>
        </w:rPr>
        <w:t>上年预算</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18.63%；文化活动（项）</w:t>
      </w:r>
      <w:r>
        <w:rPr>
          <w:rFonts w:hint="eastAsia" w:ascii="仿宋_GB2312" w:hAnsi="黑体" w:eastAsia="仿宋_GB2312"/>
          <w:sz w:val="32"/>
          <w:szCs w:val="32"/>
          <w:highlight w:val="none"/>
        </w:rPr>
        <w:t>2022年预算支出135200.00</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rPr>
        <w:t>上年预算</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100%；其他文化和旅游支出（项）</w:t>
      </w:r>
      <w:r>
        <w:rPr>
          <w:rFonts w:hint="eastAsia" w:ascii="仿宋_GB2312" w:hAnsi="黑体" w:eastAsia="仿宋_GB2312"/>
          <w:sz w:val="32"/>
          <w:szCs w:val="32"/>
          <w:highlight w:val="none"/>
        </w:rPr>
        <w:t>2022年预算支出2410000.00</w:t>
      </w:r>
      <w:r>
        <w:rPr>
          <w:rFonts w:hint="eastAsia" w:ascii="仿宋_GB2312" w:hAnsi="黑体" w:eastAsia="仿宋_GB2312"/>
          <w:sz w:val="32"/>
          <w:szCs w:val="32"/>
          <w:highlight w:val="none"/>
          <w:lang w:eastAsia="zh-CN"/>
        </w:rPr>
        <w:t>元，比</w:t>
      </w:r>
      <w:r>
        <w:rPr>
          <w:rFonts w:hint="eastAsia" w:ascii="仿宋_GB2312" w:hAnsi="黑体" w:eastAsia="仿宋_GB2312"/>
          <w:sz w:val="32"/>
          <w:szCs w:val="32"/>
          <w:highlight w:val="none"/>
        </w:rPr>
        <w:t>上年预算</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55.48%；</w:t>
      </w:r>
      <w:r>
        <w:rPr>
          <w:rFonts w:hint="eastAsia" w:ascii="仿宋_GB2312" w:hAnsi="黑体" w:eastAsia="仿宋_GB2312"/>
          <w:b/>
          <w:bCs/>
          <w:sz w:val="32"/>
          <w:szCs w:val="32"/>
          <w:highlight w:val="none"/>
          <w:lang w:val="en-US" w:eastAsia="zh-CN"/>
        </w:rPr>
        <w:t>广播电视（款）</w:t>
      </w:r>
      <w:r>
        <w:rPr>
          <w:rFonts w:hint="eastAsia" w:ascii="仿宋_GB2312" w:hAnsi="黑体" w:eastAsia="仿宋_GB2312"/>
          <w:sz w:val="32"/>
          <w:szCs w:val="32"/>
          <w:highlight w:val="none"/>
        </w:rPr>
        <w:t>2022年预算支出1227300</w:t>
      </w:r>
      <w:r>
        <w:rPr>
          <w:rFonts w:hint="eastAsia" w:ascii="仿宋_GB2312" w:hAnsi="黑体" w:eastAsia="仿宋_GB2312"/>
          <w:sz w:val="32"/>
          <w:szCs w:val="32"/>
          <w:highlight w:val="none"/>
          <w:lang w:eastAsia="zh-CN"/>
        </w:rPr>
        <w:t>元，比</w:t>
      </w:r>
      <w:r>
        <w:rPr>
          <w:rFonts w:hint="eastAsia" w:ascii="仿宋_GB2312" w:hAnsi="黑体" w:eastAsia="仿宋_GB2312"/>
          <w:sz w:val="32"/>
          <w:szCs w:val="32"/>
          <w:highlight w:val="none"/>
        </w:rPr>
        <w:t>上年预算</w:t>
      </w:r>
      <w:r>
        <w:rPr>
          <w:rFonts w:hint="eastAsia" w:ascii="仿宋_GB2312" w:hAnsi="黑体" w:eastAsia="仿宋_GB2312"/>
          <w:sz w:val="32"/>
          <w:szCs w:val="32"/>
          <w:highlight w:val="none"/>
          <w:lang w:eastAsia="zh-CN"/>
        </w:rPr>
        <w:t>增加1278.98</w:t>
      </w:r>
      <w:r>
        <w:rPr>
          <w:rFonts w:hint="eastAsia" w:ascii="仿宋_GB2312" w:hAnsi="黑体" w:eastAsia="仿宋_GB2312"/>
          <w:sz w:val="32"/>
          <w:szCs w:val="32"/>
          <w:highlight w:val="none"/>
          <w:lang w:val="en-US" w:eastAsia="zh-CN"/>
        </w:rPr>
        <w:t>%。其中：其他广播电视支出(项）</w:t>
      </w:r>
      <w:r>
        <w:rPr>
          <w:rFonts w:hint="eastAsia" w:ascii="仿宋_GB2312" w:hAnsi="黑体" w:eastAsia="仿宋_GB2312"/>
          <w:sz w:val="32"/>
          <w:szCs w:val="32"/>
          <w:highlight w:val="none"/>
        </w:rPr>
        <w:t>2022年预算支出1227300</w:t>
      </w:r>
      <w:r>
        <w:rPr>
          <w:rFonts w:hint="eastAsia" w:ascii="仿宋_GB2312" w:hAnsi="黑体" w:eastAsia="仿宋_GB2312"/>
          <w:sz w:val="32"/>
          <w:szCs w:val="32"/>
          <w:highlight w:val="none"/>
          <w:lang w:eastAsia="zh-CN"/>
        </w:rPr>
        <w:t>元，比</w:t>
      </w:r>
      <w:r>
        <w:rPr>
          <w:rFonts w:hint="eastAsia" w:ascii="仿宋_GB2312" w:hAnsi="黑体" w:eastAsia="仿宋_GB2312"/>
          <w:sz w:val="32"/>
          <w:szCs w:val="32"/>
          <w:highlight w:val="none"/>
        </w:rPr>
        <w:t>上年预算</w:t>
      </w:r>
      <w:r>
        <w:rPr>
          <w:rFonts w:hint="eastAsia" w:ascii="仿宋_GB2312" w:hAnsi="黑体" w:eastAsia="仿宋_GB2312"/>
          <w:sz w:val="32"/>
          <w:szCs w:val="32"/>
          <w:highlight w:val="none"/>
          <w:lang w:eastAsia="zh-CN"/>
        </w:rPr>
        <w:t>增加1278.98</w:t>
      </w:r>
      <w:r>
        <w:rPr>
          <w:rFonts w:hint="eastAsia" w:ascii="仿宋_GB2312" w:hAnsi="黑体" w:eastAsia="仿宋_GB2312"/>
          <w:sz w:val="32"/>
          <w:szCs w:val="32"/>
          <w:highlight w:val="none"/>
          <w:lang w:val="en-US" w:eastAsia="zh-CN"/>
        </w:rPr>
        <w:t>%。；</w:t>
      </w:r>
      <w:r>
        <w:rPr>
          <w:rFonts w:hint="eastAsia" w:ascii="仿宋_GB2312" w:hAnsi="黑体" w:eastAsia="仿宋_GB2312"/>
          <w:b/>
          <w:bCs/>
          <w:sz w:val="32"/>
          <w:szCs w:val="32"/>
          <w:highlight w:val="none"/>
          <w:lang w:val="en-US" w:eastAsia="zh-CN"/>
        </w:rPr>
        <w:t>其他文化旅游体育与传媒支出（款）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1800000元，</w:t>
      </w:r>
      <w:r>
        <w:rPr>
          <w:rFonts w:hint="eastAsia" w:ascii="仿宋_GB2312" w:hAnsi="黑体" w:eastAsia="仿宋_GB2312"/>
          <w:sz w:val="32"/>
          <w:szCs w:val="32"/>
          <w:highlight w:val="none"/>
          <w:lang w:eastAsia="zh-CN"/>
        </w:rPr>
        <w:t>比</w:t>
      </w:r>
      <w:r>
        <w:rPr>
          <w:rFonts w:hint="eastAsia" w:ascii="仿宋_GB2312" w:hAnsi="黑体" w:eastAsia="仿宋_GB2312"/>
          <w:sz w:val="32"/>
          <w:szCs w:val="32"/>
          <w:highlight w:val="none"/>
        </w:rPr>
        <w:t>上年预算</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28%，其他文化旅游体育与传媒支出（项）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1800000元，</w:t>
      </w:r>
      <w:r>
        <w:rPr>
          <w:rFonts w:hint="eastAsia" w:ascii="仿宋_GB2312" w:hAnsi="黑体" w:eastAsia="仿宋_GB2312"/>
          <w:sz w:val="32"/>
          <w:szCs w:val="32"/>
          <w:highlight w:val="none"/>
          <w:lang w:eastAsia="zh-CN"/>
        </w:rPr>
        <w:t>比</w:t>
      </w:r>
      <w:r>
        <w:rPr>
          <w:rFonts w:hint="eastAsia" w:ascii="仿宋_GB2312" w:hAnsi="黑体" w:eastAsia="仿宋_GB2312"/>
          <w:sz w:val="32"/>
          <w:szCs w:val="32"/>
          <w:highlight w:val="none"/>
        </w:rPr>
        <w:t>上年预算</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28%。</w:t>
      </w:r>
    </w:p>
    <w:p>
      <w:pPr>
        <w:spacing w:line="640" w:lineRule="exact"/>
        <w:ind w:firstLine="643" w:firstLineChars="200"/>
        <w:rPr>
          <w:rFonts w:hint="eastAsia" w:ascii="仿宋_GB2312" w:hAnsi="宋体" w:eastAsia="仿宋_GB2312"/>
          <w:sz w:val="32"/>
          <w:szCs w:val="32"/>
          <w:highlight w:val="none"/>
          <w:lang w:val="en-US" w:eastAsia="zh-CN"/>
        </w:rPr>
      </w:pP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eastAsia="zh-CN"/>
        </w:rPr>
        <w:t>三</w:t>
      </w:r>
      <w:r>
        <w:rPr>
          <w:rFonts w:hint="eastAsia" w:ascii="仿宋_GB2312" w:hAnsi="黑体" w:eastAsia="仿宋_GB2312"/>
          <w:b/>
          <w:sz w:val="32"/>
          <w:szCs w:val="32"/>
          <w:highlight w:val="none"/>
        </w:rPr>
        <w:t>）社会保障和就业支出（类</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lang w:val="en-US" w:eastAsia="zh-CN"/>
        </w:rPr>
        <w:t>行政事业单位养老支出</w:t>
      </w:r>
      <w:r>
        <w:rPr>
          <w:rFonts w:hint="eastAsia" w:ascii="仿宋_GB2312" w:hAnsi="黑体" w:eastAsia="仿宋_GB2312"/>
          <w:b/>
          <w:bCs/>
          <w:sz w:val="32"/>
          <w:szCs w:val="32"/>
          <w:highlight w:val="none"/>
        </w:rPr>
        <w:t>（款）</w:t>
      </w:r>
      <w:r>
        <w:rPr>
          <w:rFonts w:hint="eastAsia" w:ascii="仿宋_GB2312" w:hAnsi="黑体" w:eastAsia="仿宋_GB2312"/>
          <w:sz w:val="32"/>
          <w:szCs w:val="32"/>
          <w:highlight w:val="none"/>
        </w:rPr>
        <w:t>2022年预算支出1853185.92元，比上年预算数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3.65%，其中：机关事业单位基本养老保险缴费支出</w:t>
      </w:r>
      <w:r>
        <w:rPr>
          <w:rFonts w:hint="eastAsia" w:ascii="仿宋_GB2312" w:hAnsi="黑体" w:eastAsia="仿宋_GB2312"/>
          <w:sz w:val="32"/>
          <w:szCs w:val="32"/>
          <w:highlight w:val="none"/>
        </w:rPr>
        <w:t>2022年预算支出1853185.92元，比上年预算数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3.65%</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rPr>
        <w:t>财政对其他社会保险基金的补助</w:t>
      </w:r>
      <w:r>
        <w:rPr>
          <w:rFonts w:hint="eastAsia" w:ascii="仿宋_GB2312" w:hAnsi="黑体" w:eastAsia="仿宋_GB2312"/>
          <w:b/>
          <w:bCs/>
          <w:sz w:val="32"/>
          <w:szCs w:val="32"/>
          <w:highlight w:val="none"/>
          <w:lang w:eastAsia="zh-CN"/>
        </w:rPr>
        <w:t>（款）</w:t>
      </w:r>
      <w:r>
        <w:rPr>
          <w:rFonts w:hint="eastAsia" w:ascii="仿宋_GB2312" w:hAnsi="黑体" w:eastAsia="仿宋_GB2312"/>
          <w:sz w:val="32"/>
          <w:szCs w:val="32"/>
          <w:highlight w:val="none"/>
        </w:rPr>
        <w:t>2022年预算支出23164.82</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100%，其中：财政对工伤保险基金的补助(项）</w:t>
      </w:r>
      <w:r>
        <w:rPr>
          <w:rFonts w:hint="eastAsia" w:ascii="仿宋_GB2312" w:hAnsi="黑体" w:eastAsia="仿宋_GB2312"/>
          <w:sz w:val="32"/>
          <w:szCs w:val="32"/>
          <w:highlight w:val="none"/>
        </w:rPr>
        <w:t>2022年预算支出23164.82</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p>
    <w:p>
      <w:pPr>
        <w:spacing w:line="640" w:lineRule="exact"/>
        <w:ind w:firstLine="643" w:firstLineChars="200"/>
        <w:rPr>
          <w:rFonts w:hint="eastAsia" w:ascii="仿宋_GB2312" w:hAnsi="宋体" w:eastAsia="仿宋_GB2312"/>
          <w:sz w:val="32"/>
          <w:szCs w:val="32"/>
          <w:highlight w:val="none"/>
          <w:lang w:val="en-US" w:eastAsia="zh-CN"/>
        </w:rPr>
      </w:pPr>
      <w:r>
        <w:rPr>
          <w:rFonts w:hint="eastAsia" w:ascii="仿宋_GB2312" w:hAnsi="宋体" w:eastAsia="仿宋_GB2312"/>
          <w:b/>
          <w:bCs/>
          <w:sz w:val="32"/>
          <w:szCs w:val="32"/>
          <w:highlight w:val="none"/>
          <w:lang w:val="en-US" w:eastAsia="zh-CN"/>
        </w:rPr>
        <w:t>（四）卫生健康支出（类）财政对基本医疗保险基金的补助（款）</w:t>
      </w:r>
      <w:r>
        <w:rPr>
          <w:rFonts w:hint="eastAsia" w:ascii="仿宋_GB2312" w:hAnsi="黑体" w:eastAsia="仿宋_GB2312"/>
          <w:sz w:val="32"/>
          <w:szCs w:val="32"/>
          <w:highlight w:val="none"/>
        </w:rPr>
        <w:t>2022年预算支出774996.78</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100%。其中：财政对职工基本医疗保险基金的补助（项）</w:t>
      </w:r>
      <w:r>
        <w:rPr>
          <w:rFonts w:hint="eastAsia" w:ascii="仿宋_GB2312" w:hAnsi="黑体" w:eastAsia="仿宋_GB2312"/>
          <w:sz w:val="32"/>
          <w:szCs w:val="32"/>
          <w:highlight w:val="none"/>
        </w:rPr>
        <w:t>2022年预算支出774996.78</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p>
    <w:p>
      <w:pPr>
        <w:spacing w:line="640" w:lineRule="exact"/>
        <w:ind w:firstLine="643" w:firstLineChars="200"/>
        <w:rPr>
          <w:rFonts w:hint="eastAsia" w:ascii="仿宋_GB2312" w:hAnsi="宋体" w:eastAsia="仿宋_GB2312"/>
          <w:b/>
          <w:bCs/>
          <w:sz w:val="32"/>
          <w:szCs w:val="32"/>
          <w:highlight w:val="none"/>
          <w:lang w:val="en-US" w:eastAsia="zh-CN"/>
        </w:rPr>
      </w:pPr>
      <w:r>
        <w:rPr>
          <w:rFonts w:hint="eastAsia" w:ascii="仿宋_GB2312" w:hAnsi="宋体" w:eastAsia="仿宋_GB2312"/>
          <w:b/>
          <w:bCs/>
          <w:sz w:val="32"/>
          <w:szCs w:val="32"/>
          <w:highlight w:val="none"/>
          <w:lang w:val="en-US" w:eastAsia="zh-CN"/>
        </w:rPr>
        <w:t>（五）住房保障支出（类）住房改革支出（款）</w:t>
      </w:r>
      <w:r>
        <w:rPr>
          <w:rFonts w:hint="eastAsia" w:ascii="仿宋_GB2312" w:hAnsi="黑体" w:eastAsia="仿宋_GB2312"/>
          <w:sz w:val="32"/>
          <w:szCs w:val="32"/>
          <w:highlight w:val="none"/>
        </w:rPr>
        <w:t>2022年预算支出1389889.44</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100%。其中：住房公积金（项）</w:t>
      </w:r>
      <w:r>
        <w:rPr>
          <w:rFonts w:hint="eastAsia" w:ascii="仿宋_GB2312" w:hAnsi="黑体" w:eastAsia="仿宋_GB2312"/>
          <w:sz w:val="32"/>
          <w:szCs w:val="32"/>
          <w:highlight w:val="none"/>
        </w:rPr>
        <w:t>2022年预算支出1389889.44</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三、部门一般公共预算基本支出情况说明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2022年一般公共预算基本支出</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6169048.96</w:t>
      </w:r>
      <w:r>
        <w:rPr>
          <w:rFonts w:hint="eastAsia" w:ascii="仿宋_GB2312" w:hAnsi="黑体" w:eastAsia="仿宋_GB2312"/>
          <w:sz w:val="32"/>
          <w:szCs w:val="32"/>
        </w:rPr>
        <w:t>元，其中：人员经费</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4735548.96</w:t>
      </w:r>
      <w:r>
        <w:rPr>
          <w:rFonts w:hint="eastAsia" w:ascii="仿宋_GB2312" w:hAnsi="黑体" w:eastAsia="仿宋_GB2312"/>
          <w:sz w:val="32"/>
          <w:szCs w:val="32"/>
        </w:rPr>
        <w:t>元，单位运转经费</w:t>
      </w:r>
      <w:r>
        <w:rPr>
          <w:rFonts w:hint="eastAsia" w:ascii="仿宋_GB2312" w:hAnsi="黑体" w:eastAsia="仿宋_GB2312"/>
          <w:sz w:val="32"/>
          <w:szCs w:val="32"/>
          <w:lang w:eastAsia="zh-CN"/>
        </w:rPr>
        <w:t>减少</w:t>
      </w:r>
      <w:r>
        <w:rPr>
          <w:rFonts w:hint="eastAsia" w:ascii="仿宋_GB2312" w:hAnsi="黑体" w:eastAsia="仿宋_GB2312"/>
          <w:sz w:val="32"/>
          <w:szCs w:val="32"/>
        </w:rPr>
        <w:t>192450元，专项资金</w:t>
      </w:r>
      <w:r>
        <w:rPr>
          <w:rFonts w:hint="eastAsia" w:ascii="仿宋_GB2312" w:hAnsi="黑体" w:eastAsia="仿宋_GB2312"/>
          <w:sz w:val="32"/>
          <w:szCs w:val="32"/>
          <w:lang w:eastAsia="zh-CN"/>
        </w:rPr>
        <w:t>增加</w:t>
      </w:r>
      <w:r>
        <w:rPr>
          <w:rFonts w:hint="eastAsia" w:ascii="仿宋_GB2312" w:hAnsi="黑体" w:eastAsia="仿宋_GB2312"/>
          <w:sz w:val="32"/>
          <w:szCs w:val="32"/>
        </w:rPr>
        <w:t>5764950元。</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四、部门“三公”经费情况说明</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2022年“三公”经费预</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（一）因公出国（境）费</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（二）公务接待费</w:t>
      </w:r>
      <w:r>
        <w:rPr>
          <w:rFonts w:hint="eastAsia" w:ascii="仿宋_GB2312" w:hAnsi="黑体" w:eastAsia="仿宋_GB2312"/>
          <w:sz w:val="32"/>
          <w:szCs w:val="32"/>
          <w:lang w:val="en-US" w:eastAsia="zh-CN"/>
        </w:rPr>
        <w:t>0元。</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（三）公务用车购置和运行</w:t>
      </w:r>
      <w:r>
        <w:rPr>
          <w:rFonts w:hint="eastAsia" w:ascii="仿宋_GB2312" w:hAnsi="黑体" w:eastAsia="仿宋_GB2312"/>
          <w:sz w:val="32"/>
          <w:szCs w:val="32"/>
          <w:lang w:val="en-US" w:eastAsia="zh-CN"/>
        </w:rPr>
        <w:t>0元，比上年预算数增加0元，其中：公务用车购置费0元；公务用车运行费0元，比上年预算数增长0元。</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(四）会议费</w:t>
      </w:r>
      <w:r>
        <w:rPr>
          <w:rFonts w:hint="eastAsia" w:ascii="仿宋_GB2312" w:hAnsi="黑体" w:eastAsia="仿宋_GB2312"/>
          <w:sz w:val="32"/>
          <w:szCs w:val="32"/>
          <w:lang w:val="en-US" w:eastAsia="zh-CN"/>
        </w:rPr>
        <w:t>0元，比上年预算数减少0元，减少0%。</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(五) 培训费</w:t>
      </w:r>
      <w:r>
        <w:rPr>
          <w:rFonts w:hint="eastAsia" w:ascii="仿宋_GB2312" w:hAnsi="黑体" w:eastAsia="仿宋_GB2312"/>
          <w:sz w:val="32"/>
          <w:szCs w:val="32"/>
          <w:lang w:val="en-US" w:eastAsia="zh-CN"/>
        </w:rPr>
        <w:t>0元，比上年预算数减少0元，减少0%。</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五、部门机关运行经费及政府采购预算情况说明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2022年机关运行经费预算324000.00元，比上年预算数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rPr>
        <w:t>192450元。政府采购预算29980.00元，比上年预算数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rPr>
        <w:t>120020元，主要是</w:t>
      </w:r>
      <w:r>
        <w:rPr>
          <w:rFonts w:hint="eastAsia" w:ascii="仿宋_GB2312" w:hAnsi="黑体" w:eastAsia="仿宋_GB2312"/>
          <w:sz w:val="32"/>
          <w:szCs w:val="32"/>
          <w:lang w:eastAsia="zh-CN"/>
        </w:rPr>
        <w:t>：[A090101]复印纸、[A090201]鼓粉盒减少</w:t>
      </w:r>
      <w:bookmarkStart w:id="0" w:name="_GoBack"/>
      <w:bookmarkEnd w:id="0"/>
      <w:r>
        <w:rPr>
          <w:rFonts w:hint="eastAsia" w:ascii="仿宋_GB2312" w:hAnsi="黑体" w:eastAsia="仿宋_GB2312"/>
          <w:sz w:val="32"/>
          <w:szCs w:val="32"/>
        </w:rPr>
        <w:t>，其中：政府采购货物预算29980元，政府采购工程预算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元，政府采购服务预算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mQyODRiYmUyMWI4Y2Q1ZTRhYThiOTM0MTZjMDU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7EA6CFD"/>
    <w:rsid w:val="0A116753"/>
    <w:rsid w:val="0B896034"/>
    <w:rsid w:val="0D824E94"/>
    <w:rsid w:val="0E6F37D9"/>
    <w:rsid w:val="10A91CE2"/>
    <w:rsid w:val="112936A0"/>
    <w:rsid w:val="1250416D"/>
    <w:rsid w:val="13B82E0D"/>
    <w:rsid w:val="141D039C"/>
    <w:rsid w:val="142E5FEA"/>
    <w:rsid w:val="17432B85"/>
    <w:rsid w:val="1909264A"/>
    <w:rsid w:val="198119BE"/>
    <w:rsid w:val="1B190096"/>
    <w:rsid w:val="1B1B4E12"/>
    <w:rsid w:val="1B78482C"/>
    <w:rsid w:val="1C6D1D31"/>
    <w:rsid w:val="1D654F62"/>
    <w:rsid w:val="204B1966"/>
    <w:rsid w:val="205A7194"/>
    <w:rsid w:val="210F4887"/>
    <w:rsid w:val="22273516"/>
    <w:rsid w:val="2233056C"/>
    <w:rsid w:val="23513756"/>
    <w:rsid w:val="250F1490"/>
    <w:rsid w:val="292A0545"/>
    <w:rsid w:val="2B26350E"/>
    <w:rsid w:val="2B5C1C56"/>
    <w:rsid w:val="2BCF3D4E"/>
    <w:rsid w:val="2D550DF7"/>
    <w:rsid w:val="2DBA0562"/>
    <w:rsid w:val="31352995"/>
    <w:rsid w:val="32A96D1A"/>
    <w:rsid w:val="34032DB0"/>
    <w:rsid w:val="34B82D6F"/>
    <w:rsid w:val="373703E1"/>
    <w:rsid w:val="37580FE7"/>
    <w:rsid w:val="396616D2"/>
    <w:rsid w:val="39A71DAE"/>
    <w:rsid w:val="3D8C4411"/>
    <w:rsid w:val="40465DD0"/>
    <w:rsid w:val="40CC1D5D"/>
    <w:rsid w:val="416268DB"/>
    <w:rsid w:val="452F6292"/>
    <w:rsid w:val="47AF499B"/>
    <w:rsid w:val="484D612A"/>
    <w:rsid w:val="48A9072C"/>
    <w:rsid w:val="4D903B41"/>
    <w:rsid w:val="4DA8126D"/>
    <w:rsid w:val="4DD72226"/>
    <w:rsid w:val="4EA300AE"/>
    <w:rsid w:val="50622DD8"/>
    <w:rsid w:val="5080235B"/>
    <w:rsid w:val="51C77E42"/>
    <w:rsid w:val="54B1376D"/>
    <w:rsid w:val="56311F34"/>
    <w:rsid w:val="564548F7"/>
    <w:rsid w:val="565305B1"/>
    <w:rsid w:val="56C73340"/>
    <w:rsid w:val="59441D15"/>
    <w:rsid w:val="5A3206F2"/>
    <w:rsid w:val="61EF1B1B"/>
    <w:rsid w:val="621A3658"/>
    <w:rsid w:val="62B62979"/>
    <w:rsid w:val="62F61F9F"/>
    <w:rsid w:val="64252B6E"/>
    <w:rsid w:val="64732CF7"/>
    <w:rsid w:val="651520BC"/>
    <w:rsid w:val="661A6258"/>
    <w:rsid w:val="6A136FDE"/>
    <w:rsid w:val="6A752B54"/>
    <w:rsid w:val="6CCD291D"/>
    <w:rsid w:val="6EA6456E"/>
    <w:rsid w:val="723906FB"/>
    <w:rsid w:val="74517818"/>
    <w:rsid w:val="75840CDB"/>
    <w:rsid w:val="75FA50B5"/>
    <w:rsid w:val="77171088"/>
    <w:rsid w:val="77781E83"/>
    <w:rsid w:val="78062181"/>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3151</Words>
  <Characters>3947</Characters>
  <Lines>16</Lines>
  <Paragraphs>4</Paragraphs>
  <TotalTime>2</TotalTime>
  <ScaleCrop>false</ScaleCrop>
  <LinksUpToDate>false</LinksUpToDate>
  <CharactersWithSpaces>4015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2023-06-08T08:24:30Z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2C2B1E33EB5A43F09A17393C6590B243</vt:lpwstr>
  </property>
</Properties>
</file>