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东乡族自治县</w:t>
      </w:r>
      <w:r>
        <w:rPr>
          <w:rFonts w:hint="eastAsia" w:ascii="仿宋_GB2312" w:hAnsi="仿宋_GB2312" w:eastAsia="仿宋_GB2312" w:cs="仿宋_GB2312"/>
          <w:sz w:val="32"/>
          <w:szCs w:val="32"/>
          <w:lang w:val="en-US" w:eastAsia="zh-CN"/>
        </w:rPr>
        <w:t>达板镇</w:t>
      </w:r>
      <w:r>
        <w:rPr>
          <w:rFonts w:hint="eastAsia" w:ascii="仿宋_GB2312" w:hAnsi="仿宋_GB2312" w:eastAsia="仿宋_GB2312" w:cs="仿宋_GB2312"/>
          <w:sz w:val="32"/>
          <w:szCs w:val="32"/>
          <w:lang w:val="zh-CN"/>
        </w:rPr>
        <w:t>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numPr>
          <w:ilvl w:val="0"/>
          <w:numId w:val="1"/>
        </w:numPr>
        <w:kinsoku/>
        <w:wordWrap/>
        <w:overflowPunct/>
        <w:topLinePunct w:val="0"/>
        <w:autoSpaceDE/>
        <w:autoSpaceDN/>
        <w:bidi w:val="0"/>
        <w:adjustRightInd/>
        <w:snapToGrid/>
        <w:spacing w:before="100" w:beforeLines="0" w:after="100" w:afterLines="0" w:line="240" w:lineRule="auto"/>
        <w:ind w:left="200" w:leftChars="0" w:firstLine="640" w:firstLineChars="0"/>
        <w:jc w:val="left"/>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部门（单位））职责</w:t>
      </w:r>
    </w:p>
    <w:p>
      <w:pPr>
        <w:pageBreakBefore w:val="0"/>
        <w:kinsoku/>
        <w:wordWrap/>
        <w:overflowPunct/>
        <w:topLinePunct w:val="0"/>
        <w:autoSpaceDE/>
        <w:autoSpaceDN/>
        <w:bidi w:val="0"/>
        <w:adjustRightInd/>
        <w:snapToGrid/>
        <w:spacing w:before="100" w:beforeLines="0" w:after="100" w:afterLines="0" w:line="240" w:lineRule="auto"/>
        <w:ind w:firstLine="42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rPr>
        <w:t>　</w:t>
      </w:r>
      <w:r>
        <w:rPr>
          <w:rFonts w:hint="eastAsia" w:ascii="仿宋_GB2312" w:hAnsi="仿宋_GB2312" w:eastAsia="仿宋_GB2312" w:cs="仿宋_GB2312"/>
          <w:color w:val="000000"/>
          <w:spacing w:val="0"/>
          <w:w w:val="100"/>
          <w:position w:val="0"/>
          <w:sz w:val="32"/>
          <w:szCs w:val="32"/>
          <w:lang w:eastAsia="zh-CN"/>
        </w:rPr>
        <w:t>卫生院以贯彻执行党的卫生工作方针政策和国家卫生法律、法规，以公共卫生服务为主，面向农村居民提供综合性卫生服务，受上级卫生行政部门委托承担辖区内预防保舰基本医疗、健康教育、康复和计划生育技术等工作。具体职责如下：</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一、负责本乡镇的卫生工作法律、法规、政策的贯彻，卫生事业发展规划和工作计划的制订，社会公共卫生工作的组织和实施;</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二、负责本乡镇的基本医疗服务;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三、负责本乡镇突发公共卫生事件的报告，并依据上级部门要求组织实施处置;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四、负责本乡镇辖区内的卫生信息统计、分析、上报;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五、负责对本乡镇辖区内村级卫生组织和乡村医生的业务指导和培训;　</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spacing w:val="0"/>
          <w:w w:val="100"/>
          <w:position w:val="0"/>
          <w:sz w:val="32"/>
          <w:szCs w:val="32"/>
          <w:lang w:val="zh-CN" w:eastAsia="zh-CN"/>
        </w:rPr>
      </w:pPr>
      <w:r>
        <w:rPr>
          <w:rFonts w:hint="eastAsia" w:ascii="仿宋_GB2312" w:hAnsi="仿宋_GB2312" w:eastAsia="仿宋_GB2312" w:cs="仿宋_GB2312"/>
          <w:color w:val="000000"/>
          <w:spacing w:val="0"/>
          <w:w w:val="100"/>
          <w:position w:val="0"/>
          <w:sz w:val="32"/>
          <w:szCs w:val="32"/>
          <w:lang w:eastAsia="zh-CN"/>
        </w:rPr>
        <w:t>六、负责承办政府卫生行政部门委托的相关业务或事项;负责上级卫生行政部门下达的其他工作。</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bCs/>
          <w:color w:val="auto"/>
          <w:sz w:val="32"/>
          <w:szCs w:val="32"/>
          <w:lang w:val="zh-CN"/>
        </w:rPr>
      </w:pPr>
      <w:r>
        <w:rPr>
          <w:rFonts w:hint="eastAsia" w:ascii="仿宋_GB2312" w:hAnsi="仿宋_GB2312" w:eastAsia="仿宋_GB2312" w:cs="仿宋_GB2312"/>
          <w:b/>
          <w:bCs/>
          <w:color w:val="auto"/>
          <w:sz w:val="32"/>
          <w:szCs w:val="32"/>
          <w:lang w:val="zh-CN"/>
        </w:rPr>
        <w:t>二、机构设置</w:t>
      </w:r>
    </w:p>
    <w:p>
      <w:pPr>
        <w:spacing w:line="640" w:lineRule="exact"/>
        <w:ind w:firstLine="645"/>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我院现有职工80名，专业技术人员76名，管理人员4名，其中正式工有60名，临时工有20名，副高2名，有执业助理医师资格证5名，注册护士有20名。开设有全科门诊、中医理疗科、治疗室、检验室、B超室及心电图室，放射科，彩超室等9个临床科室，设有公卫科、财务室、医保办、计划免疫室、妇幼保健室、健康扶贫办公室、计划生育科、收费室等8个辅助科室。</w:t>
      </w:r>
    </w:p>
    <w:p>
      <w:pPr>
        <w:spacing w:line="640" w:lineRule="exact"/>
        <w:rPr>
          <w:rFonts w:hint="eastAsia" w:ascii="仿宋_GB2312" w:eastAsia="仿宋_GB2312" w:cs="Times New Roman"/>
          <w:color w:val="auto"/>
          <w:sz w:val="30"/>
          <w:szCs w:val="30"/>
          <w:highlight w:val="none"/>
          <w:lang w:eastAsia="zh-CN"/>
        </w:rPr>
      </w:pPr>
    </w:p>
    <w:p>
      <w:pPr>
        <w:spacing w:line="640" w:lineRule="exact"/>
        <w:rPr>
          <w:rFonts w:ascii="仿宋_GB2312" w:hAnsi="黑体" w:eastAsia="仿宋_GB2312"/>
          <w:b/>
          <w:sz w:val="44"/>
          <w:szCs w:val="44"/>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第二部分2022年度部门决算表（见附件）</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10456271.71元，支出总计10382429.4元，与2021年决算数相比，收入增加839109.43元，增长8.72%，支出增加455857.52元，增长4.59%。主要原因是2022年公卫资金、基本药物制度资金等支出较2021年增多，由于工资调整和人员调入，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auto"/>
          <w:sz w:val="32"/>
          <w:szCs w:val="32"/>
          <w:lang w:val="en-US" w:eastAsia="zh-CN"/>
        </w:rPr>
        <w:t>1045.62</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auto"/>
          <w:sz w:val="32"/>
          <w:szCs w:val="32"/>
          <w:lang w:val="en-US" w:eastAsia="zh-CN"/>
        </w:rPr>
        <w:t>825.21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78.92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220.41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21.08</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1038.24</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735.51</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70.84</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302.73</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29.16</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8252183.2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679112.02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8.96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2022年公卫资金、药物制度资金下达较2021年增多，由于工资调整和人员调入，人员基本工资、养老医疗、公积金都有了提高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8252183.</w:t>
      </w:r>
      <w:r>
        <w:rPr>
          <w:rFonts w:hint="eastAsia" w:ascii="仿宋_GB2312" w:hAnsi="仿宋_GB2312" w:eastAsia="仿宋_GB2312" w:cs="仿宋_GB2312"/>
          <w:color w:val="000000"/>
          <w:spacing w:val="0"/>
          <w:w w:val="100"/>
          <w:position w:val="0"/>
          <w:sz w:val="32"/>
          <w:szCs w:val="32"/>
        </w:rPr>
        <w:t>元，较上年决算数增加加</w:t>
      </w:r>
      <w:r>
        <w:rPr>
          <w:rFonts w:hint="eastAsia" w:ascii="仿宋_GB2312" w:hAnsi="仿宋_GB2312" w:eastAsia="仿宋_GB2312" w:cs="仿宋_GB2312"/>
          <w:color w:val="000000"/>
          <w:spacing w:val="0"/>
          <w:w w:val="100"/>
          <w:position w:val="0"/>
          <w:sz w:val="32"/>
          <w:szCs w:val="32"/>
          <w:lang w:val="en-US" w:eastAsia="zh-CN"/>
        </w:rPr>
        <w:t>679112.02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8.96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2022年公卫资金、药物制度资金支出增多，由于工资调整和人员调入，人员基本工资、养老医疗、公积金都有了提高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auto"/>
          <w:sz w:val="32"/>
          <w:szCs w:val="32"/>
          <w:lang w:val="en-US" w:eastAsia="zh-CN"/>
        </w:rPr>
        <w:t>825.21</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67.91</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8.96</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2022年公卫资金、药物制度资金支出增多，由于工资调整和人员调入，人员基本工资、养老医疗、公积金都有了提高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lang w:val="zh-CN"/>
        </w:rPr>
        <w:t>.社会保障和就业支出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37.61</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37.61</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eastAsia="zh-CN"/>
        </w:rPr>
      </w:pPr>
      <w:r>
        <w:rPr>
          <w:rFonts w:hint="eastAsia" w:ascii="仿宋_GB2312" w:hAnsi="仿宋_GB2312" w:eastAsia="仿宋_GB2312" w:cs="仿宋_GB2312"/>
          <w:b/>
          <w:color w:val="auto"/>
          <w:sz w:val="32"/>
          <w:szCs w:val="32"/>
          <w:lang w:val="en-US" w:eastAsia="zh-CN"/>
        </w:rPr>
        <w:t>2</w:t>
      </w:r>
      <w:r>
        <w:rPr>
          <w:rFonts w:hint="eastAsia" w:ascii="仿宋_GB2312" w:hAnsi="仿宋_GB2312" w:eastAsia="仿宋_GB2312" w:cs="仿宋_GB2312"/>
          <w:b/>
          <w:color w:val="auto"/>
          <w:sz w:val="32"/>
          <w:szCs w:val="32"/>
          <w:lang w:val="zh-CN"/>
        </w:rPr>
        <w:t>.卫生健康支出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754.70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754.7</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.住房保障支出</w:t>
      </w:r>
      <w:r>
        <w:rPr>
          <w:rFonts w:hint="eastAsia" w:ascii="仿宋_GB2312" w:hAnsi="仿宋_GB2312" w:eastAsia="仿宋_GB2312" w:cs="仿宋_GB2312"/>
          <w:color w:val="auto"/>
          <w:sz w:val="32"/>
          <w:szCs w:val="32"/>
          <w:lang w:val="zh-CN"/>
        </w:rPr>
        <w:t>年初预算数为</w:t>
      </w:r>
      <w:r>
        <w:rPr>
          <w:rFonts w:hint="eastAsia" w:ascii="仿宋_GB2312" w:hAnsi="仿宋_GB2312" w:eastAsia="仿宋_GB2312" w:cs="仿宋_GB2312"/>
          <w:color w:val="auto"/>
          <w:sz w:val="32"/>
          <w:szCs w:val="32"/>
          <w:lang w:val="en-US" w:eastAsia="zh-CN"/>
        </w:rPr>
        <w:t>32.9</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32.9</w:t>
      </w:r>
      <w:r>
        <w:rPr>
          <w:rFonts w:hint="eastAsia" w:ascii="仿宋_GB2312" w:hAnsi="仿宋_GB2312" w:eastAsia="仿宋_GB2312" w:cs="仿宋_GB2312"/>
          <w:color w:val="auto"/>
          <w:sz w:val="32"/>
          <w:szCs w:val="32"/>
          <w:lang w:val="zh-CN"/>
        </w:rPr>
        <w:t>万元,完成年初预算的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522.49</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522.49</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43.77</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9.14</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主要原因是</w:t>
      </w:r>
      <w:r>
        <w:rPr>
          <w:rFonts w:hint="eastAsia" w:ascii="仿宋_GB2312" w:hAnsi="仿宋_GB2312" w:eastAsia="仿宋_GB2312" w:cs="仿宋_GB2312"/>
          <w:color w:val="000000"/>
          <w:spacing w:val="0"/>
          <w:w w:val="100"/>
          <w:position w:val="0"/>
          <w:sz w:val="32"/>
          <w:szCs w:val="32"/>
          <w:lang w:val="en-US" w:eastAsia="zh-CN"/>
        </w:rPr>
        <w:t>人员工资调整及人员调入，人员基本工资、养老医疗、公积金都有了提高</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auto"/>
          <w:sz w:val="32"/>
          <w:szCs w:val="32"/>
          <w:lang w:val="zh-CN"/>
        </w:rPr>
        <w:t>人员经费用途</w:t>
      </w:r>
      <w:r>
        <w:rPr>
          <w:rFonts w:hint="eastAsia" w:ascii="仿宋_GB2312" w:hAnsi="仿宋_GB2312" w:eastAsia="仿宋_GB2312" w:cs="仿宋_GB2312"/>
          <w:color w:val="000000" w:themeColor="text1"/>
          <w:sz w:val="32"/>
          <w:szCs w:val="32"/>
          <w:lang w:val="zh-CN"/>
          <w14:textFill>
            <w14:solidFill>
              <w14:schemeClr w14:val="tx1"/>
            </w14:solidFill>
          </w14:textFill>
        </w:rPr>
        <w:t>主要包括机关事业单位基本养老保险缴费支出基本工资、津贴补贴、奖金、绩效工资、职工基本医疗保险缴费、其他社会保险缴费、住房公积金。</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color w:val="auto"/>
          <w:sz w:val="32"/>
          <w:szCs w:val="32"/>
          <w:lang w:val="zh-CN"/>
        </w:rPr>
        <w:t>公用经费</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万元,较上年决算数减少</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万元,下降</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主要原因是：我单位为事业二级单位，预算中不列公用经费，只有人员经费。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我单位为事业二级单位，2022年度无机关运行相关经费。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我单位2022年度政府采购相关经费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为0万元，较上年减少0万元。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000000" w:themeColor="text1"/>
          <w:kern w:val="2"/>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tabs>
          <w:tab w:val="left" w:pos="1192"/>
        </w:tabs>
        <w:bidi w:val="0"/>
        <w:ind w:firstLine="640" w:firstLineChars="200"/>
        <w:jc w:val="left"/>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本部门2022年度没有使用国有资本经营预算安排的支出。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bookmarkStart w:id="0" w:name="_GoBack"/>
      <w:bookmarkEnd w:id="0"/>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其中：公务用车购置费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公务用车运行维护费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lang w:val="zh-CN"/>
        </w:rPr>
        <w:t>公务接待费</w:t>
      </w:r>
      <w:r>
        <w:rPr>
          <w:rFonts w:hint="eastAsia" w:ascii="仿宋_GB2312" w:hAnsi="仿宋_GB2312" w:eastAsia="仿宋_GB2312" w:cs="仿宋_GB2312"/>
          <w:color w:val="auto"/>
          <w:sz w:val="32"/>
          <w:szCs w:val="32"/>
          <w:lang w:val="en-US"/>
        </w:rPr>
        <w:t>全</w:t>
      </w:r>
      <w:r>
        <w:rPr>
          <w:rFonts w:hint="eastAsia" w:ascii="仿宋_GB2312" w:hAnsi="仿宋_GB2312" w:eastAsia="仿宋_GB2312" w:cs="仿宋_GB2312"/>
          <w:color w:val="auto"/>
          <w:sz w:val="32"/>
          <w:szCs w:val="32"/>
          <w:lang w:val="zh-CN"/>
        </w:rPr>
        <w:t>年预算数为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减少0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下降0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w:t>
      </w:r>
    </w:p>
    <w:p>
      <w:pPr>
        <w:pageBreakBefore w:val="0"/>
        <w:numPr>
          <w:ilvl w:val="0"/>
          <w:numId w:val="2"/>
        </w:numPr>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我单位未开展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预算</w:t>
      </w:r>
      <w:r>
        <w:rPr>
          <w:rFonts w:hint="eastAsia" w:ascii="仿宋_GB2312" w:hAnsi="仿宋_GB2312" w:eastAsia="仿宋_GB2312" w:cs="仿宋_GB2312"/>
          <w:color w:val="000000" w:themeColor="text1"/>
          <w:sz w:val="32"/>
          <w:szCs w:val="32"/>
          <w:lang w:val="zh-CN"/>
          <w14:textFill>
            <w14:solidFill>
              <w14:schemeClr w14:val="tx1"/>
            </w14:solidFill>
          </w14:textFill>
        </w:rPr>
        <w:t>绩效评价工作</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p>
      <w:pPr>
        <w:pStyle w:val="2"/>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p>
    <w:p>
      <w:pPr>
        <w:rPr>
          <w:rFonts w:hint="default"/>
          <w:lang w:val="en-US" w:eastAsia="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 xml:space="preserve"> </w:t>
      </w:r>
    </w:p>
    <w:p>
      <w:pPr>
        <w:pStyle w:val="2"/>
        <w:rPr>
          <w:rFonts w:hint="default"/>
          <w:b/>
          <w:bCs/>
          <w:lang w:val="en-US"/>
        </w:rPr>
      </w:pPr>
      <w:r>
        <w:rPr>
          <w:rFonts w:hint="eastAsia" w:ascii="仿宋_GB2312" w:hAnsi="仿宋_GB2312" w:eastAsia="仿宋_GB2312" w:cs="仿宋_GB2312"/>
          <w:b/>
          <w:bCs/>
          <w:color w:val="auto"/>
          <w:spacing w:val="0"/>
          <w:w w:val="100"/>
          <w:position w:val="0"/>
          <w:sz w:val="32"/>
          <w:szCs w:val="32"/>
          <w:u w:val="none"/>
          <w:shd w:val="clear" w:color="auto" w:fill="auto"/>
          <w:lang w:val="en-US" w:eastAsia="zh-CN" w:bidi="zh-TW"/>
        </w:rPr>
        <w:t>附件：2022年度部门决算表</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2B28A"/>
    <w:multiLevelType w:val="singleLevel"/>
    <w:tmpl w:val="04E2B28A"/>
    <w:lvl w:ilvl="0" w:tentative="0">
      <w:start w:val="1"/>
      <w:numFmt w:val="chineseCounting"/>
      <w:suff w:val="nothing"/>
      <w:lvlText w:val="%1、"/>
      <w:lvlJc w:val="left"/>
      <w:pPr>
        <w:ind w:left="200"/>
      </w:pPr>
      <w:rPr>
        <w:rFonts w:hint="eastAsia"/>
      </w:rPr>
    </w:lvl>
  </w:abstractNum>
  <w:abstractNum w:abstractNumId="1">
    <w:nsid w:val="1C787B5A"/>
    <w:multiLevelType w:val="singleLevel"/>
    <w:tmpl w:val="1C787B5A"/>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DNkYWQ0ODI0ZmUyZmM2MzUyZmQ3ZDQzMjQ0NDIifQ=="/>
  </w:docVars>
  <w:rsids>
    <w:rsidRoot w:val="00000000"/>
    <w:rsid w:val="001C47B3"/>
    <w:rsid w:val="001D739B"/>
    <w:rsid w:val="008C6C96"/>
    <w:rsid w:val="02AA4B1F"/>
    <w:rsid w:val="062579E3"/>
    <w:rsid w:val="06B060B8"/>
    <w:rsid w:val="07292279"/>
    <w:rsid w:val="0D386A9E"/>
    <w:rsid w:val="0D5F6162"/>
    <w:rsid w:val="118F1B21"/>
    <w:rsid w:val="11B25539"/>
    <w:rsid w:val="12A34BDD"/>
    <w:rsid w:val="16770DEC"/>
    <w:rsid w:val="1AD863F9"/>
    <w:rsid w:val="23250B58"/>
    <w:rsid w:val="24FB24D8"/>
    <w:rsid w:val="296D45C8"/>
    <w:rsid w:val="2A766811"/>
    <w:rsid w:val="2AF64CA5"/>
    <w:rsid w:val="2C286950"/>
    <w:rsid w:val="302D2CFD"/>
    <w:rsid w:val="30765B77"/>
    <w:rsid w:val="30DD7BD3"/>
    <w:rsid w:val="3900219F"/>
    <w:rsid w:val="3BE06C83"/>
    <w:rsid w:val="44107B5E"/>
    <w:rsid w:val="470E7B71"/>
    <w:rsid w:val="471714D8"/>
    <w:rsid w:val="483B1A2C"/>
    <w:rsid w:val="496E016C"/>
    <w:rsid w:val="4DA644C0"/>
    <w:rsid w:val="54237CF8"/>
    <w:rsid w:val="56754ADE"/>
    <w:rsid w:val="59FD5DAF"/>
    <w:rsid w:val="5BEE108D"/>
    <w:rsid w:val="5C847877"/>
    <w:rsid w:val="5D387615"/>
    <w:rsid w:val="5D487306"/>
    <w:rsid w:val="6013285D"/>
    <w:rsid w:val="65E52B0F"/>
    <w:rsid w:val="66684C90"/>
    <w:rsid w:val="66B221A6"/>
    <w:rsid w:val="676A7445"/>
    <w:rsid w:val="67731D96"/>
    <w:rsid w:val="69724A37"/>
    <w:rsid w:val="69AA14E4"/>
    <w:rsid w:val="69F505BB"/>
    <w:rsid w:val="6C2F176C"/>
    <w:rsid w:val="6F9277B6"/>
    <w:rsid w:val="74732C9E"/>
    <w:rsid w:val="749018A2"/>
    <w:rsid w:val="776C2BD5"/>
    <w:rsid w:val="77925050"/>
    <w:rsid w:val="7C2A0CC5"/>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4.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7.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9f816721-a34c-4b38-8df9-8940ce05977f}">
  <ds:schemaRefs/>
</ds:datastoreItem>
</file>

<file path=customXml/itemProps2.xml><?xml version="1.0" encoding="utf-8"?>
<ds:datastoreItem xmlns:ds="http://schemas.openxmlformats.org/officeDocument/2006/customXml" ds:itemID="{1942c3e6-50fa-42e3-afb2-c9ca37f9532b}">
  <ds:schemaRefs/>
</ds:datastoreItem>
</file>

<file path=customXml/itemProps3.xml><?xml version="1.0" encoding="utf-8"?>
<ds:datastoreItem xmlns:ds="http://schemas.openxmlformats.org/officeDocument/2006/customXml" ds:itemID="{d598932f-d44b-446f-8f36-105025c3f829}">
  <ds:schemaRefs/>
</ds:datastoreItem>
</file>

<file path=customXml/itemProps4.xml><?xml version="1.0" encoding="utf-8"?>
<ds:datastoreItem xmlns:ds="http://schemas.openxmlformats.org/officeDocument/2006/customXml" ds:itemID="{dd9736f0-b4da-40c5-bb91-cccf845c036b}">
  <ds:schemaRefs/>
</ds:datastoreItem>
</file>

<file path=customXml/itemProps5.xml><?xml version="1.0" encoding="utf-8"?>
<ds:datastoreItem xmlns:ds="http://schemas.openxmlformats.org/officeDocument/2006/customXml" ds:itemID="{d38ddf7c-f42f-4139-a6d5-4c272742fb01}">
  <ds:schemaRefs/>
</ds:datastoreItem>
</file>

<file path=customXml/itemProps6.xml><?xml version="1.0" encoding="utf-8"?>
<ds:datastoreItem xmlns:ds="http://schemas.openxmlformats.org/officeDocument/2006/customXml" ds:itemID="{5c862a0d-5a43-460c-b27d-6ae8edf896e5}">
  <ds:schemaRefs/>
</ds:datastoreItem>
</file>

<file path=customXml/itemProps7.xml><?xml version="1.0" encoding="utf-8"?>
<ds:datastoreItem xmlns:ds="http://schemas.openxmlformats.org/officeDocument/2006/customXml" ds:itemID="{65f361dc-07a0-4362-b527-b3db1c437bb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abd899ba-6e03-4791-9897-a1bbba214d3e}">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4264</Words>
  <Characters>4578</Characters>
  <Lines>0</Lines>
  <Paragraphs>0</Paragraphs>
  <TotalTime>9</TotalTime>
  <ScaleCrop>false</ScaleCrop>
  <LinksUpToDate>false</LinksUpToDate>
  <CharactersWithSpaces>4584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2023-09-19T13:33:36Z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5B6385A7B46F483B86BE93C606BF86D0_12</vt:lpwstr>
  </property>
</Properties>
</file>