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东乡县林家遗址文物保护研究所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2024年单位预算情况说明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第三部分2024年单位预算公开表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单位职责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(一)贯彻执行中央、省、州关于文物工作“保护为主抢救第一、合理利用、加强管理”的路线、方针政策及有关法律法规。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(二)研究制定林家遗址发展的战略目标和政策措施，编制并组织实施林家遗址发展的长期规划和工作计划。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(三)划定文物保护单位的保护范围;研究提出划定文物保护单位周围的建设控制地带的意见;审核建设控制地带内的建设工程。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(四)负责文物建筑修缮、抢险加固等工程审工作，并组织验收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(五)协调处理林家遗址文物保护、管理、抢救、发掘研究、宣传、利用等业务工作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(六)协调配合国家文物部门组织的文物保护考古发掘等方面的工作。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(七)研究处理文物保护的重大问题;对查处盗窃、盗掘破坏、走私和非法经营文物的大案要案提出文物方面的专业性意见。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(八)规划、指导本系统专业人员培训工作;组织开展文物科学研究和文物科学保护工作。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(九)完成上级交办的其它事项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ind w:firstLine="643" w:firstLineChars="200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甘肃东乡林家遗址文物保护研究所内设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个职能股(室)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（一</w:t>
      </w:r>
      <w:r>
        <w:rPr>
          <w:rFonts w:hint="eastAsia" w:ascii="仿宋_GB2312" w:eastAsia="仿宋_GB2312"/>
          <w:sz w:val="30"/>
          <w:szCs w:val="30"/>
        </w:rPr>
        <w:t>)办公室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职责:负责拟定单位工作计划，研究编制上报文保单位中长期发展规划、计划;管理、协调所机关行政事务;协助所领导对有关工作进行综合、协调、督促和检査;负责文秘信息、档案、信访、安全保卫等工作;负责单位人事及机构编制的具体业务工作;负责本系统知识分子的管理工作及相应的专业技术职务资格报审、评审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(二)政策宣教室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职责:宣传贯彻执行《中华人民共和国文物保护法》及有关法律、法规，增强全社会的文物保护意识;负责对具有历史、艺术、科学价值的可移动文物的征集、收藏、保管、修复、陈列、展示，充实博物馆展品内容，提高展品内涵;提供文物业务培训，开展文物、马家窑文化历史研究;调查文物遗迹，进行文物普查，做好文物保护、咨询工作;收集和征集流散文物，防止文物非法流通;举办对外文化交流，推动旅游事业发展，科学普及、青少年教育等社会活动职能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(三)研究資料室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职责:考古发掘出土文物的收集、入库、登记上账和日常管理维护;为本所专业人员的学术研究提供服务;考古发掘资料的收集、存档、编类、整理;有关资料的借阅;专业图书的发放;为本所业务人员的学术研究提供服务;图书资料的采购与管理;日常图书杂志、报刊的借阅;为本所职工的业务学习和学术研究提供服务;搜集国内外文物保护方面的新科技信息、技术、方式、方法，并在条件允许的情况下应用，加大本所文保方面的科技含量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(四)规划建设室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职责:负责协调有关部门落实林家遗址保护规划;编制林家遗址年度保护维修工程项目计划，并组织实施对保护工程方案的论证、设计、申报、立项、施工、监督、验收等工作配合上级相关部门对遗址进行考古、发掘和基本建设等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(五)安全保卫室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职责:贯彻防火、防盗、防破坏、防治安事故的“四防”工作方针，按照国家风险等级和公安主管部门的要求，定本所各类安全规章制度和安全保卫方案;完善安防、技防设施，保证设施正常运行，负责安防、技防、消防系统使用和维护工作;负责落实文物安全、消防保卫工作的各项措施;加强与公安、综合治理办公室等部门联系，负责本所治安综合治理工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(六)纪检监察室</w:t>
      </w:r>
    </w:p>
    <w:p>
      <w:pPr>
        <w:ind w:firstLine="600" w:firstLineChars="200"/>
      </w:pPr>
      <w:r>
        <w:rPr>
          <w:rFonts w:hint="eastAsia" w:ascii="仿宋_GB2312" w:eastAsia="仿宋_GB2312"/>
          <w:sz w:val="30"/>
          <w:szCs w:val="30"/>
        </w:rPr>
        <w:t>主要职责:负责本单位廉政建设和反腐败工作，加强纪检监察宣传教育工作，抓好干部职工纪律。对党员和干部职工在党风党纪和廉政勤政方面的问题进行有效监督，发现重大问题</w:t>
      </w:r>
      <w:r>
        <w:rPr>
          <w:rFonts w:hint="eastAsia" w:ascii="仿宋_GB2312" w:eastAsia="仿宋_GB2312"/>
          <w:sz w:val="30"/>
          <w:szCs w:val="30"/>
          <w:lang w:eastAsia="zh-CN"/>
        </w:rPr>
        <w:t>及时向纪委报告。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按照预算管理有关规定，2024年单位收支包括机关预算和直属单位预算在内的汇总情况。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274.64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单位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274.64</w:t>
      </w:r>
      <w:r>
        <w:rPr>
          <w:rFonts w:hint="eastAsia" w:ascii="仿宋_GB2312" w:hAnsi="仿宋" w:eastAsia="仿宋_GB2312"/>
          <w:sz w:val="32"/>
          <w:szCs w:val="32"/>
        </w:rPr>
        <w:t>万元。包括：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274.64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274.64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r>
        <w:rPr>
          <w:rStyle w:val="21"/>
          <w:rFonts w:hint="default" w:hAnsi="仿宋"/>
        </w:rPr>
        <w:t>其中：基本支出</w:t>
      </w:r>
      <w:r>
        <w:rPr>
          <w:rStyle w:val="21"/>
          <w:rFonts w:hint="eastAsia" w:hAnsi="仿宋" w:eastAsia="仿宋_GB2312"/>
          <w:lang w:val="en-US" w:eastAsia="zh-CN"/>
        </w:rPr>
        <w:t>274.64</w:t>
      </w:r>
      <w:r>
        <w:rPr>
          <w:rStyle w:val="21"/>
          <w:rFonts w:hint="default" w:hAnsi="仿宋"/>
        </w:rPr>
        <w:t>万元， 占</w:t>
      </w:r>
      <w:r>
        <w:rPr>
          <w:rStyle w:val="21"/>
          <w:rFonts w:hint="eastAsia" w:hAnsi="仿宋" w:eastAsia="仿宋_GB2312"/>
          <w:lang w:val="en-US" w:eastAsia="zh-CN"/>
        </w:rPr>
        <w:t>100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；项目支出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default" w:hAnsi="仿宋"/>
        </w:rPr>
        <w:t>万元，占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；上年结转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default" w:hAnsi="仿宋"/>
        </w:rPr>
        <w:t>万元，占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2"/>
          <w:rFonts w:hint="eastAsia" w:ascii="仿宋_GB2312" w:hAnsi="仿宋" w:eastAsia="仿宋_GB2312"/>
        </w:rPr>
        <w:t>2024</w:t>
      </w:r>
      <w:r>
        <w:rPr>
          <w:rStyle w:val="21"/>
          <w:rFonts w:hint="default" w:hAnsi="仿宋"/>
        </w:rPr>
        <w:t>年一般公共预算当年支出</w:t>
      </w:r>
      <w:r>
        <w:rPr>
          <w:rStyle w:val="21"/>
          <w:rFonts w:hint="eastAsia" w:hAnsi="仿宋" w:eastAsia="仿宋_GB2312"/>
          <w:lang w:val="en-US" w:eastAsia="zh-CN"/>
        </w:rPr>
        <w:t>274.64</w:t>
      </w:r>
      <w:r>
        <w:rPr>
          <w:rStyle w:val="21"/>
          <w:rFonts w:hint="default" w:hAnsi="仿宋"/>
        </w:rPr>
        <w:t>万元，包括：一般公共服务支出</w:t>
      </w:r>
      <w:r>
        <w:rPr>
          <w:rStyle w:val="21"/>
          <w:rFonts w:hint="eastAsia" w:hAnsi="仿宋" w:eastAsia="仿宋_GB2312"/>
          <w:lang w:val="en-US" w:eastAsia="zh-CN"/>
        </w:rPr>
        <w:t>3.27</w:t>
      </w:r>
      <w:r>
        <w:rPr>
          <w:rStyle w:val="21"/>
          <w:rFonts w:hint="default" w:hAnsi="仿宋"/>
        </w:rPr>
        <w:t>万元、文化旅游体育与传媒支出</w:t>
      </w:r>
      <w:r>
        <w:rPr>
          <w:rStyle w:val="21"/>
          <w:rFonts w:hint="eastAsia" w:hAnsi="仿宋" w:eastAsia="仿宋_GB2312"/>
          <w:lang w:val="en-US" w:eastAsia="zh-CN"/>
        </w:rPr>
        <w:t>209.99万元、</w:t>
      </w:r>
      <w:r>
        <w:rPr>
          <w:rStyle w:val="21"/>
          <w:rFonts w:hint="default" w:hAnsi="仿宋"/>
        </w:rPr>
        <w:t>公共安全支出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default" w:hAnsi="仿宋"/>
        </w:rPr>
        <w:t>万元、科学技术支出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default" w:hAnsi="仿宋"/>
        </w:rPr>
        <w:t>万元、社会保障和就业支出</w:t>
      </w:r>
      <w:r>
        <w:rPr>
          <w:rStyle w:val="21"/>
          <w:rFonts w:hint="eastAsia" w:hAnsi="仿宋" w:eastAsia="仿宋_GB2312"/>
          <w:lang w:val="en-US" w:eastAsia="zh-CN"/>
        </w:rPr>
        <w:t>27.01</w:t>
      </w:r>
      <w:r>
        <w:rPr>
          <w:rStyle w:val="21"/>
          <w:rFonts w:hint="default" w:hAnsi="仿宋"/>
        </w:rPr>
        <w:t>万元、</w:t>
      </w:r>
      <w:r>
        <w:rPr>
          <w:rStyle w:val="21"/>
          <w:rFonts w:hint="eastAsia" w:hAnsi="仿宋" w:eastAsia="仿宋_GB2312"/>
          <w:lang w:val="en-US" w:eastAsia="zh-CN"/>
        </w:rPr>
        <w:t>卫生健康支出14.37万元、住房保障20.01万元、</w:t>
      </w:r>
      <w:r>
        <w:rPr>
          <w:rStyle w:val="21"/>
          <w:rFonts w:hint="default" w:hAnsi="仿宋"/>
        </w:rPr>
        <w:t>其他支出</w:t>
      </w:r>
      <w:r>
        <w:rPr>
          <w:rStyle w:val="21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default" w:hAnsi="仿宋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274.64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18.97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%，增长的主要原因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是人员经费增加。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261.50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万元，主要包括：基本工资、机关事业单位基本养老保险缴费、职工基本医疗保险缴费、公务员医疗补助缴费、住房公积金、生活补助、医疗费补助。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13.14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万元，主要包括：办公费、水费、电费、邮电费、取暖费、工会经费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万元，比2023年预算增加（减少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%，增长（减少）的主要原因是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一般公共服务（类）纪检监察事务（款）派驻派出机构（项）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无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五、单位一般公共预算财政拨款“三公”经费、培训费、会议费等情况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万元），较2023年预算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2024年，单位政府采购预算总额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2024年，单位面向中小企业预留政府采购项目预算金额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1620.85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817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100.13</w:t>
      </w:r>
      <w:r>
        <w:rPr>
          <w:rFonts w:hint="eastAsia" w:ascii="仿宋_GB2312" w:hAnsi="仿宋" w:eastAsia="仿宋_GB2312"/>
          <w:sz w:val="32"/>
          <w:szCs w:val="32"/>
        </w:rPr>
        <w:t>万元。预算单位共有公务用车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辆，价值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2024年使用政府性基金预算拨款安排支出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未安排预算，政府性基金预算支出情况表未空表。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2024年本单位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2024年本单位年初预算未安排项目支出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管理转移支付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未安排预算，本单位管理</w:t>
      </w:r>
      <w:r>
        <w:rPr>
          <w:rFonts w:hint="eastAsia" w:ascii="仿宋_GB2312" w:hAnsi="仿宋" w:eastAsia="仿宋_GB2312"/>
          <w:sz w:val="32"/>
          <w:szCs w:val="32"/>
        </w:rPr>
        <w:t>转移支付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个，占本单位项目的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个，其中，单位整体支出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个，增长率/压减率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%。同时对政策和项目资金管理作出调整的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单位支出预算的组成部分，是各单位为完成其特定的行政任务或事业发展目标，在基本支出预算之外编制的年度项目支出计划。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4480" w:firstLineChars="14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东乡县林家遗址文物保护研究所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东乡县林家遗址文物保护研究所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20</w:t>
      </w:r>
      <w:bookmarkStart w:id="0" w:name="_GoBack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</w:t>
      </w:r>
      <w:bookmarkEnd w:id="0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7CD648"/>
    <w:multiLevelType w:val="singleLevel"/>
    <w:tmpl w:val="AA7CD6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RiZGY3MGZmOTljNmY5YTFjMzczZjA5MTcwNWM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26D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B4E7CF4"/>
    <w:rsid w:val="113741D2"/>
    <w:rsid w:val="13F1693B"/>
    <w:rsid w:val="1534262B"/>
    <w:rsid w:val="18185AA7"/>
    <w:rsid w:val="1D34261E"/>
    <w:rsid w:val="1E797ACA"/>
    <w:rsid w:val="2BBE0884"/>
    <w:rsid w:val="41424A4D"/>
    <w:rsid w:val="527E074E"/>
    <w:rsid w:val="579503FF"/>
    <w:rsid w:val="60535296"/>
    <w:rsid w:val="62233ED9"/>
    <w:rsid w:val="6BE51317"/>
    <w:rsid w:val="71685D86"/>
    <w:rsid w:val="72FD2525"/>
    <w:rsid w:val="74415D4A"/>
    <w:rsid w:val="75F60506"/>
    <w:rsid w:val="766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link w:val="19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autoRedefine/>
    <w:qFormat/>
    <w:uiPriority w:val="0"/>
    <w:rPr>
      <w:b/>
      <w:bCs/>
    </w:rPr>
  </w:style>
  <w:style w:type="character" w:styleId="11">
    <w:name w:val="line number"/>
    <w:autoRedefine/>
    <w:qFormat/>
    <w:uiPriority w:val="0"/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页脚 Char"/>
    <w:link w:val="6"/>
    <w:autoRedefine/>
    <w:qFormat/>
    <w:uiPriority w:val="0"/>
    <w:rPr>
      <w:sz w:val="18"/>
      <w:szCs w:val="18"/>
    </w:rPr>
  </w:style>
  <w:style w:type="character" w:customStyle="1" w:styleId="14">
    <w:name w:val="页眉 Char"/>
    <w:link w:val="7"/>
    <w:autoRedefine/>
    <w:qFormat/>
    <w:uiPriority w:val="0"/>
    <w:rPr>
      <w:sz w:val="18"/>
      <w:szCs w:val="18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link w:val="5"/>
    <w:autoRedefine/>
    <w:qFormat/>
    <w:uiPriority w:val="0"/>
    <w:rPr>
      <w:kern w:val="2"/>
      <w:sz w:val="18"/>
      <w:szCs w:val="18"/>
    </w:rPr>
  </w:style>
  <w:style w:type="character" w:customStyle="1" w:styleId="17">
    <w:name w:val="标题 1 Char"/>
    <w:link w:val="3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8">
    <w:name w:val="TOC Heading"/>
    <w:basedOn w:val="3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批注文字 Char"/>
    <w:link w:val="4"/>
    <w:autoRedefine/>
    <w:qFormat/>
    <w:uiPriority w:val="0"/>
    <w:rPr>
      <w:kern w:val="2"/>
      <w:sz w:val="21"/>
      <w:szCs w:val="22"/>
    </w:rPr>
  </w:style>
  <w:style w:type="character" w:customStyle="1" w:styleId="20">
    <w:name w:val="批注主题 Char"/>
    <w:link w:val="8"/>
    <w:autoRedefine/>
    <w:qFormat/>
    <w:uiPriority w:val="0"/>
    <w:rPr>
      <w:b/>
      <w:bCs/>
      <w:kern w:val="2"/>
      <w:sz w:val="21"/>
      <w:szCs w:val="22"/>
    </w:rPr>
  </w:style>
  <w:style w:type="character" w:customStyle="1" w:styleId="21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3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39</TotalTime>
  <ScaleCrop>false</ScaleCrop>
  <LinksUpToDate>false</LinksUpToDate>
  <CharactersWithSpaces>9630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岁月</cp:lastModifiedBy>
  <cp:lastPrinted>2022-02-15T07:45:00Z</cp:lastPrinted>
  <dcterms:modified xsi:type="dcterms:W3CDTF">2024-03-14T04:49:08Z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BF512CC67B5B49FC96EBE07D5A163271_13</vt:lpwstr>
  </property>
</Properties>
</file>