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东乡族自治县锁南社区医院</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spacing w:line="640" w:lineRule="exact"/>
        <w:ind w:firstLine="645"/>
        <w:rPr>
          <w:rFonts w:hint="eastAsia" w:ascii="仿宋_GB2312" w:eastAsia="仿宋_GB2312" w:cs="Times New Roman"/>
          <w:color w:val="auto"/>
          <w:sz w:val="30"/>
          <w:szCs w:val="30"/>
          <w:highlight w:val="none"/>
          <w:lang w:val="en-US" w:eastAsia="zh-CN"/>
        </w:rPr>
      </w:pPr>
      <w:r>
        <w:rPr>
          <w:rFonts w:hint="eastAsia" w:ascii="仿宋_GB2312" w:eastAsia="仿宋_GB2312" w:cs="Times New Roman"/>
          <w:color w:val="auto"/>
          <w:sz w:val="30"/>
          <w:szCs w:val="30"/>
          <w:highlight w:val="none"/>
          <w:lang w:val="en-US" w:eastAsia="zh-CN"/>
        </w:rPr>
        <w:t>我院现有专业技术人员58人（包括乡村医生15名）；其中按执业资格分：副主任医师2人，副主任护师1人，执业医师5人，执业助理医师11人，主管护师2人、护师3人、药师1人、执业护士12人；按职称分：副高级职称3人，中级职称2人，初级职称10人；按学历分：本科12人、大专27人、中专19人。</w:t>
      </w:r>
    </w:p>
    <w:p>
      <w:pPr>
        <w:keepNext w:val="0"/>
        <w:keepLines w:val="0"/>
        <w:pageBreakBefore w:val="0"/>
        <w:kinsoku/>
        <w:wordWrap/>
        <w:overflowPunct/>
        <w:topLinePunct w:val="0"/>
        <w:autoSpaceDE/>
        <w:autoSpaceDN/>
        <w:bidi w:val="0"/>
        <w:adjustRightInd/>
        <w:snapToGrid/>
        <w:spacing w:before="0" w:after="0" w:line="600" w:lineRule="exact"/>
        <w:ind w:firstLine="640" w:firstLineChars="200"/>
        <w:jc w:val="left"/>
        <w:textAlignment w:val="auto"/>
        <w:rPr>
          <w:rFonts w:hint="eastAsia" w:ascii="仿宋" w:hAnsi="仿宋" w:eastAsia="仿宋" w:cs="仿宋"/>
          <w:spacing w:val="1"/>
          <w:sz w:val="32"/>
          <w:szCs w:val="32"/>
          <w:lang w:val="en-US" w:eastAsia="zh-CN"/>
        </w:rPr>
      </w:pPr>
      <w:r>
        <w:rPr>
          <w:rFonts w:hint="eastAsia" w:ascii="仿宋" w:hAnsi="仿宋" w:eastAsia="仿宋" w:cs="仿宋"/>
          <w:color w:val="000000"/>
          <w:spacing w:val="0"/>
          <w:sz w:val="32"/>
          <w:szCs w:val="32"/>
          <w:lang w:val="en-US" w:eastAsia="zh-CN"/>
        </w:rPr>
        <w:t>目前共设置住院病床56张，全部配备供养及呼叫系统，中医理疗床32张；设有全科门诊、中医门诊、综合内科、外科、妇科、儿科、中医科、康复医学科、口腔科、精神科等10个临床科室；</w:t>
      </w:r>
      <w:r>
        <w:rPr>
          <w:rFonts w:hint="eastAsia" w:ascii="仿宋" w:hAnsi="仿宋" w:eastAsia="仿宋" w:cs="仿宋"/>
          <w:spacing w:val="1"/>
          <w:sz w:val="32"/>
          <w:szCs w:val="32"/>
          <w:lang w:val="en-US" w:eastAsia="zh-CN"/>
        </w:rPr>
        <w:t>设有</w:t>
      </w:r>
      <w:r>
        <w:rPr>
          <w:rFonts w:hint="eastAsia" w:ascii="仿宋" w:hAnsi="仿宋" w:eastAsia="仿宋" w:cs="仿宋"/>
          <w:color w:val="000000"/>
          <w:spacing w:val="0"/>
          <w:sz w:val="32"/>
          <w:szCs w:val="32"/>
          <w:lang w:val="en-US" w:eastAsia="zh-CN"/>
        </w:rPr>
        <w:t>检验科、放射科、B超室、心电图室、中药房、西药房、煎药室等7个医技科室；设有预防保健科、</w:t>
      </w:r>
      <w:r>
        <w:rPr>
          <w:rFonts w:hint="eastAsia" w:ascii="仿宋" w:hAnsi="仿宋" w:eastAsia="仿宋" w:cs="仿宋"/>
          <w:spacing w:val="1"/>
          <w:sz w:val="32"/>
          <w:szCs w:val="32"/>
          <w:lang w:val="en-US" w:eastAsia="zh-CN"/>
        </w:rPr>
        <w:t>预防接种门诊、妇幼健康室、健康教育室、计划生育技术服务室、健康体检中心等6个公共卫生科室；</w:t>
      </w:r>
      <w:r>
        <w:rPr>
          <w:rFonts w:hint="eastAsia" w:ascii="仿宋" w:hAnsi="仿宋" w:eastAsia="仿宋" w:cs="仿宋"/>
          <w:color w:val="000000"/>
          <w:spacing w:val="0"/>
          <w:sz w:val="32"/>
          <w:szCs w:val="32"/>
          <w:lang w:val="en-US" w:eastAsia="zh-CN"/>
        </w:rPr>
        <w:t>设有治疗室、注射室、输液室、急救室、留观室等5个其他科室；设有党工办、办公室、新时代文</w:t>
      </w:r>
      <w:r>
        <w:rPr>
          <w:rFonts w:hint="eastAsia" w:ascii="仿宋" w:hAnsi="仿宋" w:eastAsia="仿宋" w:cs="仿宋"/>
          <w:spacing w:val="1"/>
          <w:sz w:val="32"/>
          <w:szCs w:val="32"/>
          <w:lang w:val="en-US" w:eastAsia="zh-CN"/>
        </w:rPr>
        <w:t>明实践示范点办公室、医务科、护理部、院感科、公共卫生管理科、财务室、医保办、健康帮扶室等10个管理科室。</w:t>
      </w:r>
    </w:p>
    <w:p>
      <w:pPr>
        <w:spacing w:line="640" w:lineRule="exact"/>
        <w:rPr>
          <w:rFonts w:ascii="仿宋_GB2312" w:hAnsi="黑体" w:eastAsia="仿宋_GB2312"/>
          <w:b/>
          <w:sz w:val="44"/>
          <w:szCs w:val="44"/>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10669158.08元，支出总计10969158.08元，与2021年决算数相比，收入增加115742.86元，增长1.1%，支出增加11638.13元，增长0.011%。主要原因是2022年公卫资金支出较2021年增多，由于工资调整，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1066.915808</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971.053483</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91.02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95.862325</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0.0899</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1096.9158</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696.1508</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63.47</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400.7649</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36.53</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9710534.83</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1381991.05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2022年公卫资金、药物制度资金下达较2021年增多，由于工资调整，人员基本工资、养老医疗、公积金都有了提高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9710534.83</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1381991.05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公卫资金、药物制度资金支出增多，人员工资调整，人员基本工资、养老医疗、公积金都有了提高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971.1053</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138.19</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公卫资金、药物制度资金支出增多，人员工资调整，人员基本工资、养老医疗、公积金都有了提高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46.8534</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46.8534</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881.87</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881.87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42.32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42.32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570.29</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570.29</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41.42</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人员工资调整，人员基本工资、养老医疗、公积金都有了提高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主要原因是：我单位为事业二级单位，预算中不列公用经费，只有人员经费。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3.3145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3.3145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增加1.3145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增长65</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2022年由于疫情原因，医院救护车运用频繁，维修费及油费增加</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3.3145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3.3145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增加1.3145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增长65</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2022年由于疫情原因，医院救护车运用频繁，维修费及油费增加</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3.3145</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3.3145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增加1.3145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增长65</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000000" w:themeColor="text1"/>
          <w:sz w:val="32"/>
          <w:szCs w:val="32"/>
          <w:lang w:val="en-US"/>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2022年由于疫情原因，医院救护车运用频繁，维修费及油费增加</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bookmarkStart w:id="0" w:name="_GoBack"/>
      <w:bookmarkEnd w:id="0"/>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ZDVjMTQ5NjMxZDc5ODI2YjQ4OWQwOTc4YzViNWEifQ=="/>
  </w:docVars>
  <w:rsids>
    <w:rsidRoot w:val="00000000"/>
    <w:rsid w:val="008C6C96"/>
    <w:rsid w:val="02AA4B1F"/>
    <w:rsid w:val="07292279"/>
    <w:rsid w:val="0D386A9E"/>
    <w:rsid w:val="118F1B21"/>
    <w:rsid w:val="11B25539"/>
    <w:rsid w:val="12A34BDD"/>
    <w:rsid w:val="16770DEC"/>
    <w:rsid w:val="1AD863F9"/>
    <w:rsid w:val="23250B58"/>
    <w:rsid w:val="24FB24D8"/>
    <w:rsid w:val="296D45C8"/>
    <w:rsid w:val="2C286950"/>
    <w:rsid w:val="302D2CFD"/>
    <w:rsid w:val="30DD7BD3"/>
    <w:rsid w:val="3BE06C83"/>
    <w:rsid w:val="44107B5E"/>
    <w:rsid w:val="470E7B71"/>
    <w:rsid w:val="483B1A2C"/>
    <w:rsid w:val="496E016C"/>
    <w:rsid w:val="4DA644C0"/>
    <w:rsid w:val="54237CF8"/>
    <w:rsid w:val="56754ADE"/>
    <w:rsid w:val="59FD5DAF"/>
    <w:rsid w:val="5BEE108D"/>
    <w:rsid w:val="5C847877"/>
    <w:rsid w:val="5D387615"/>
    <w:rsid w:val="65E52B0F"/>
    <w:rsid w:val="66B221A6"/>
    <w:rsid w:val="67731D96"/>
    <w:rsid w:val="69724A37"/>
    <w:rsid w:val="69AA14E4"/>
    <w:rsid w:val="69F505BB"/>
    <w:rsid w:val="6C2F176C"/>
    <w:rsid w:val="6F9277B6"/>
    <w:rsid w:val="749018A2"/>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0</TotalTime>
  <ScaleCrop>false</ScaleCrop>
  <LinksUpToDate>false</LinksUpToDate>
  <CharactersWithSpaces>7663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2023-09-19T08:48:09Z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5B6385A7B46F483B86BE93C606BF86D0_12</vt:lpwstr>
  </property>
</Properties>
</file>