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沿岭乡人民政府</w:t>
      </w:r>
      <w:r>
        <w:rPr>
          <w:rFonts w:hint="eastAsia" w:ascii="方正小标宋简体" w:eastAsia="方正小标宋简体"/>
          <w:sz w:val="72"/>
          <w:szCs w:val="72"/>
          <w:highlight w:val="none"/>
        </w:rPr>
        <w:t>部门</w:t>
      </w:r>
      <w:r>
        <w:rPr>
          <w:rFonts w:hint="eastAsia" w:ascii="方正小标宋简体" w:eastAsia="方正小标宋简体"/>
          <w:sz w:val="72"/>
          <w:szCs w:val="72"/>
        </w:rPr>
        <w:t>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2"/>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2"/>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2022年预算收入8366252.14元，比上年预算</w:t>
      </w:r>
      <w:r>
        <w:rPr>
          <w:rFonts w:hint="eastAsia" w:ascii="仿宋_GB2312" w:hAnsi="黑体" w:eastAsia="仿宋_GB2312"/>
          <w:sz w:val="32"/>
          <w:szCs w:val="32"/>
          <w:highlight w:val="none"/>
          <w:lang w:val="en-US" w:eastAsia="zh-CN"/>
        </w:rPr>
        <w:t>增加1384993.14</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19%，</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卫生健康支出、住房保障支出增加。</w:t>
      </w:r>
      <w:r>
        <w:rPr>
          <w:rFonts w:hint="eastAsia" w:ascii="仿宋_GB2312" w:hAnsi="黑体" w:eastAsia="仿宋_GB2312"/>
          <w:sz w:val="32"/>
          <w:szCs w:val="32"/>
          <w:highlight w:val="none"/>
        </w:rPr>
        <w:t>其中：一般公共预算财政拨款收入8366252.14元，政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8366252.14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增加19.8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人员经费增加，</w:t>
      </w:r>
      <w:r>
        <w:rPr>
          <w:rFonts w:hint="eastAsia" w:ascii="仿宋_GB2312" w:hAnsi="黑体" w:eastAsia="仿宋_GB2312"/>
          <w:sz w:val="32"/>
          <w:szCs w:val="32"/>
          <w:highlight w:val="none"/>
          <w:lang w:eastAsia="zh-CN"/>
        </w:rPr>
        <w:t>卫生健康支出、住房保障支出增加</w:t>
      </w:r>
      <w:r>
        <w:rPr>
          <w:rFonts w:hint="eastAsia" w:ascii="仿宋_GB2312" w:hAnsi="黑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5796423.28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5796423.28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15.76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，主要原因是人员增加</w:t>
      </w:r>
      <w:r>
        <w:rPr>
          <w:rFonts w:hint="eastAsia" w:ascii="仿宋_GB2312" w:hAnsi="宋体" w:eastAsia="仿宋_GB2312"/>
          <w:sz w:val="32"/>
          <w:szCs w:val="32"/>
          <w:highlight w:val="none"/>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611066.27元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611066.27</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增加6.3%.</w:t>
      </w:r>
      <w:r>
        <w:rPr>
          <w:rFonts w:hint="eastAsia" w:ascii="仿宋_GB2312" w:hAnsi="宋体" w:eastAsia="仿宋_GB2312"/>
          <w:sz w:val="32"/>
          <w:szCs w:val="32"/>
          <w:highlight w:val="none"/>
          <w:lang w:eastAsia="zh-CN"/>
        </w:rPr>
        <w:t>主要原因是人员增加</w:t>
      </w:r>
      <w:r>
        <w:rPr>
          <w:rFonts w:hint="eastAsia" w:ascii="仿宋_GB2312" w:hAnsi="宋体" w:eastAsia="仿宋_GB2312"/>
          <w:sz w:val="32"/>
          <w:szCs w:val="32"/>
          <w:highlight w:val="none"/>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卫生健康支出251120.91</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251120.91</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lang w:eastAsia="zh-CN"/>
        </w:rPr>
        <w:t>主要原因是上年无单独预算。</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lang w:eastAsia="zh-CN"/>
        </w:rPr>
        <w:t>农林水支出1255000.00元，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lang w:eastAsia="zh-CN"/>
        </w:rPr>
        <w:t>1255000.00元，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减少10.92%。</w:t>
      </w:r>
      <w:r>
        <w:rPr>
          <w:rFonts w:hint="eastAsia" w:ascii="仿宋" w:hAnsi="仿宋" w:eastAsia="仿宋" w:cs="仿宋"/>
          <w:b w:val="0"/>
          <w:bCs w:val="0"/>
          <w:color w:val="000000"/>
          <w:sz w:val="32"/>
          <w:szCs w:val="32"/>
          <w:lang w:val="en-US" w:eastAsia="zh-CN"/>
        </w:rPr>
        <w:t>主要原因是村社干部人员减少</w:t>
      </w:r>
      <w:r>
        <w:rPr>
          <w:rFonts w:hint="eastAsia" w:ascii="仿宋" w:hAnsi="仿宋" w:eastAsia="仿宋" w:cs="仿宋"/>
          <w:b w:val="0"/>
          <w:bCs w:val="0"/>
          <w:color w:val="000000"/>
          <w:sz w:val="32"/>
          <w:szCs w:val="32"/>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住房保障支出452641.68元，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lang w:eastAsia="zh-CN"/>
        </w:rPr>
        <w:t>452641.68元，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lang w:eastAsia="zh-CN"/>
        </w:rPr>
        <w:t>主要原因是上年无单独预算。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6541252.14</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rPr>
        <w:t>500000.00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2022年预算支出5796423.28元，比上年预算数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15.76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lang w:eastAsia="zh-CN"/>
        </w:rPr>
        <w:t>主要原因是人员增加</w:t>
      </w:r>
      <w:r>
        <w:rPr>
          <w:rFonts w:hint="eastAsia" w:ascii="仿宋_GB2312" w:hAnsi="黑体" w:eastAsia="仿宋_GB2312"/>
          <w:sz w:val="32"/>
          <w:szCs w:val="32"/>
          <w:highlight w:val="none"/>
        </w:rPr>
        <w:t>。</w:t>
      </w: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10000.00元，</w:t>
      </w:r>
      <w:r>
        <w:rPr>
          <w:rFonts w:hint="eastAsia" w:ascii="仿宋_GB2312" w:hAnsi="黑体" w:eastAsia="仿宋_GB2312"/>
          <w:sz w:val="32"/>
          <w:szCs w:val="32"/>
          <w:highlight w:val="none"/>
          <w:lang w:val="en-US" w:eastAsia="zh-CN"/>
        </w:rPr>
        <w:t>其中：行政运支出（项）2022年支出10000.00元，较上年增加100%，增加原因：上年未安排该资金。</w:t>
      </w:r>
      <w:r>
        <w:rPr>
          <w:rFonts w:hint="eastAsia" w:ascii="仿宋_GB2312" w:hAnsi="宋体" w:eastAsia="仿宋_GB2312"/>
          <w:b/>
          <w:bCs/>
          <w:sz w:val="32"/>
          <w:szCs w:val="32"/>
          <w:highlight w:val="none"/>
          <w:lang w:eastAsia="zh-CN"/>
        </w:rPr>
        <w:t>政府办公厅（室）及相关机构事务（款）</w:t>
      </w:r>
      <w:r>
        <w:rPr>
          <w:rFonts w:hint="eastAsia" w:ascii="仿宋_GB2312" w:hAnsi="黑体" w:eastAsia="仿宋_GB2312"/>
          <w:sz w:val="32"/>
          <w:szCs w:val="32"/>
          <w:highlight w:val="none"/>
        </w:rPr>
        <w:t>2022年预算</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5710983元,比上年增加15.12%；其中：行政运行（项）2022年</w:t>
      </w:r>
      <w:r>
        <w:rPr>
          <w:rFonts w:hint="eastAsia" w:ascii="仿宋_GB2312" w:hAnsi="黑体" w:eastAsia="仿宋_GB2312"/>
          <w:sz w:val="32"/>
          <w:szCs w:val="32"/>
          <w:highlight w:val="none"/>
        </w:rPr>
        <w:t>预算</w:t>
      </w:r>
      <w:r>
        <w:rPr>
          <w:rFonts w:hint="eastAsia" w:ascii="仿宋_GB2312" w:hAnsi="黑体" w:eastAsia="仿宋_GB2312"/>
          <w:sz w:val="32"/>
          <w:szCs w:val="32"/>
          <w:highlight w:val="none"/>
          <w:lang w:val="en-US" w:eastAsia="zh-CN"/>
        </w:rPr>
        <w:t>支出5650983.00元，比上年增加13.92%；其他政府办公厅（室）及相关机构事务支出（项）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60000.00元，比上年增加100%</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val="en-US" w:eastAsia="zh-CN"/>
        </w:rPr>
        <w:t>主要原因人员变动、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r>
        <w:rPr>
          <w:rFonts w:hint="eastAsia" w:ascii="仿宋_GB2312" w:hAnsi="黑体" w:eastAsia="仿宋_GB2312"/>
          <w:sz w:val="32"/>
          <w:szCs w:val="32"/>
          <w:highlight w:val="none"/>
          <w:lang w:val="en-US" w:eastAsia="zh-CN"/>
        </w:rPr>
        <w:t>。</w:t>
      </w: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b/>
          <w:bCs/>
          <w:sz w:val="32"/>
          <w:szCs w:val="32"/>
          <w:highlight w:val="none"/>
          <w:lang w:val="en-US" w:eastAsia="zh-CN"/>
        </w:rPr>
        <w:t>2022年支出</w:t>
      </w:r>
      <w:r>
        <w:rPr>
          <w:rFonts w:hint="eastAsia" w:ascii="仿宋_GB2312" w:hAnsi="宋体" w:eastAsia="仿宋_GB2312"/>
          <w:sz w:val="32"/>
          <w:szCs w:val="32"/>
          <w:highlight w:val="none"/>
          <w:lang w:val="en-US" w:eastAsia="zh-CN"/>
        </w:rPr>
        <w:t>75440.28</w:t>
      </w:r>
      <w:r>
        <w:rPr>
          <w:rFonts w:hint="eastAsia" w:ascii="仿宋_GB2312" w:hAnsi="宋体" w:eastAsia="仿宋_GB2312"/>
          <w:sz w:val="32"/>
          <w:szCs w:val="32"/>
          <w:highlight w:val="none"/>
          <w:lang w:eastAsia="zh-CN"/>
        </w:rPr>
        <w:t>元，比上年</w:t>
      </w:r>
      <w:r>
        <w:rPr>
          <w:rFonts w:hint="eastAsia" w:ascii="仿宋_GB2312" w:hAnsi="宋体" w:eastAsia="仿宋_GB2312"/>
          <w:sz w:val="32"/>
          <w:szCs w:val="32"/>
          <w:highlight w:val="none"/>
          <w:lang w:val="en-US" w:eastAsia="zh-CN"/>
        </w:rPr>
        <w:t>增加60.63%。</w:t>
      </w:r>
      <w:r>
        <w:rPr>
          <w:rFonts w:hint="eastAsia" w:ascii="仿宋_GB2312" w:hAnsi="宋体" w:eastAsia="仿宋_GB2312"/>
          <w:sz w:val="32"/>
          <w:szCs w:val="32"/>
          <w:highlight w:val="none"/>
          <w:lang w:eastAsia="zh-CN"/>
        </w:rPr>
        <w:t>其中：工会事务（项）</w:t>
      </w:r>
      <w:r>
        <w:rPr>
          <w:rFonts w:hint="eastAsia" w:ascii="仿宋_GB2312" w:hAnsi="黑体" w:eastAsia="仿宋_GB2312"/>
          <w:sz w:val="32"/>
          <w:szCs w:val="32"/>
          <w:highlight w:val="none"/>
        </w:rPr>
        <w:t>2022年预算</w:t>
      </w:r>
      <w:r>
        <w:rPr>
          <w:rFonts w:hint="eastAsia" w:ascii="仿宋_GB2312" w:hAnsi="宋体" w:eastAsia="仿宋_GB2312"/>
          <w:sz w:val="32"/>
          <w:szCs w:val="32"/>
          <w:highlight w:val="none"/>
          <w:lang w:val="en-US" w:eastAsia="zh-CN"/>
        </w:rPr>
        <w:t>75440.28</w:t>
      </w:r>
      <w:r>
        <w:rPr>
          <w:rFonts w:hint="eastAsia" w:ascii="仿宋_GB2312" w:hAnsi="宋体" w:eastAsia="仿宋_GB2312"/>
          <w:sz w:val="32"/>
          <w:szCs w:val="32"/>
          <w:highlight w:val="none"/>
          <w:lang w:eastAsia="zh-CN"/>
        </w:rPr>
        <w:t>元，比上年</w:t>
      </w:r>
      <w:r>
        <w:rPr>
          <w:rFonts w:hint="eastAsia" w:ascii="仿宋_GB2312" w:hAnsi="宋体" w:eastAsia="仿宋_GB2312"/>
          <w:sz w:val="32"/>
          <w:szCs w:val="32"/>
          <w:highlight w:val="none"/>
          <w:lang w:val="en-US" w:eastAsia="zh-CN"/>
        </w:rPr>
        <w:t>增加60.63%，</w:t>
      </w:r>
      <w:r>
        <w:rPr>
          <w:rFonts w:hint="eastAsia" w:ascii="仿宋_GB2312" w:hAnsi="黑体" w:eastAsia="仿宋_GB2312"/>
          <w:sz w:val="32"/>
          <w:szCs w:val="32"/>
          <w:highlight w:val="none"/>
          <w:lang w:val="en-US" w:eastAsia="zh-CN"/>
        </w:rPr>
        <w:t>主要原因人员变动、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r>
        <w:rPr>
          <w:rFonts w:hint="eastAsia" w:ascii="仿宋_GB2312" w:hAnsi="黑体" w:eastAsia="仿宋_GB2312"/>
          <w:sz w:val="32"/>
          <w:szCs w:val="32"/>
          <w:highlight w:val="none"/>
          <w:lang w:val="en-US" w:eastAsia="zh-CN"/>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行政事业单位养老支出（款）</w:t>
      </w:r>
      <w:r>
        <w:rPr>
          <w:rFonts w:hint="eastAsia" w:ascii="仿宋_GB2312" w:hAnsi="黑体" w:eastAsia="仿宋_GB2312"/>
          <w:sz w:val="32"/>
          <w:szCs w:val="32"/>
          <w:highlight w:val="none"/>
        </w:rPr>
        <w:t>2022年预算支出603522.24元，</w:t>
      </w:r>
      <w:r>
        <w:rPr>
          <w:rFonts w:hint="eastAsia" w:ascii="仿宋_GB2312" w:hAnsi="黑体" w:eastAsia="仿宋_GB2312"/>
          <w:sz w:val="32"/>
          <w:szCs w:val="32"/>
          <w:highlight w:val="none"/>
          <w:lang w:val="en-US" w:eastAsia="zh-CN"/>
        </w:rPr>
        <w:t>比上年预算数增加4.99%，其中：机关事业单位基本养老保险缴费支出（项）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603522.24元，比上年预算数增加4.99%。</w:t>
      </w:r>
      <w:r>
        <w:rPr>
          <w:rFonts w:hint="eastAsia" w:ascii="仿宋_GB2312" w:hAnsi="黑体" w:eastAsia="仿宋_GB2312"/>
          <w:b/>
          <w:bCs/>
          <w:sz w:val="32"/>
          <w:szCs w:val="32"/>
          <w:highlight w:val="none"/>
          <w:lang w:val="en-US" w:eastAsia="zh-CN"/>
        </w:rPr>
        <w:t>财政对其他社会保险基金的补助财政（款）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7544.03元，比上年预算数增加100%。其中：</w:t>
      </w:r>
      <w:r>
        <w:rPr>
          <w:rFonts w:hint="eastAsia" w:ascii="仿宋_GB2312" w:hAnsi="黑体" w:eastAsia="仿宋_GB2312"/>
          <w:b w:val="0"/>
          <w:bCs w:val="0"/>
          <w:sz w:val="32"/>
          <w:szCs w:val="32"/>
          <w:highlight w:val="none"/>
          <w:lang w:val="en-US" w:eastAsia="zh-CN"/>
        </w:rPr>
        <w:t>对工伤保险基金的补助（项）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7544.03元，比上年预算数增加100%。主要原因为人员变动，人员基数增加，人员社保经费增加</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财政对基本医疗保险基金的补助（款）</w:t>
      </w:r>
      <w:r>
        <w:rPr>
          <w:rFonts w:hint="eastAsia" w:ascii="仿宋_GB2312" w:hAnsi="黑体" w:eastAsia="仿宋_GB2312"/>
          <w:sz w:val="32"/>
          <w:szCs w:val="32"/>
          <w:highlight w:val="none"/>
        </w:rPr>
        <w:t>2022年预算支出251120.91</w:t>
      </w:r>
      <w:r>
        <w:rPr>
          <w:rFonts w:hint="eastAsia" w:ascii="仿宋_GB2312" w:hAnsi="黑体" w:eastAsia="仿宋_GB2312"/>
          <w:b w:val="0"/>
          <w:bCs/>
          <w:sz w:val="32"/>
          <w:szCs w:val="32"/>
          <w:highlight w:val="none"/>
          <w:lang w:eastAsia="zh-CN"/>
        </w:rPr>
        <w:t>元，</w:t>
      </w:r>
      <w:r>
        <w:rPr>
          <w:rFonts w:hint="eastAsia" w:ascii="仿宋_GB2312" w:hAnsi="黑体" w:eastAsia="仿宋_GB2312"/>
          <w:sz w:val="32"/>
          <w:szCs w:val="32"/>
          <w:highlight w:val="none"/>
          <w:lang w:val="en-US" w:eastAsia="zh-CN"/>
        </w:rPr>
        <w:t>比上年预算数增加100%。其中：财政对职工基本医疗保险基金的补助（项）</w:t>
      </w:r>
      <w:r>
        <w:rPr>
          <w:rFonts w:hint="eastAsia" w:ascii="仿宋_GB2312" w:hAnsi="黑体" w:eastAsia="仿宋_GB2312"/>
          <w:sz w:val="32"/>
          <w:szCs w:val="32"/>
          <w:highlight w:val="none"/>
        </w:rPr>
        <w:t>2022年预算支出251120.91</w:t>
      </w:r>
      <w:r>
        <w:rPr>
          <w:rFonts w:hint="eastAsia" w:ascii="仿宋_GB2312" w:hAnsi="黑体" w:eastAsia="仿宋_GB2312"/>
          <w:b w:val="0"/>
          <w:bCs/>
          <w:sz w:val="32"/>
          <w:szCs w:val="32"/>
          <w:highlight w:val="none"/>
          <w:lang w:eastAsia="zh-CN"/>
        </w:rPr>
        <w:t>元，</w:t>
      </w:r>
      <w:r>
        <w:rPr>
          <w:rFonts w:hint="eastAsia" w:ascii="仿宋_GB2312" w:hAnsi="黑体" w:eastAsia="仿宋_GB2312"/>
          <w:sz w:val="32"/>
          <w:szCs w:val="32"/>
          <w:highlight w:val="none"/>
          <w:lang w:val="en-US" w:eastAsia="zh-CN"/>
        </w:rPr>
        <w:t>比上年预算数增加100%。</w:t>
      </w:r>
      <w:r>
        <w:rPr>
          <w:rFonts w:hint="eastAsia" w:ascii="仿宋" w:hAnsi="仿宋" w:eastAsia="仿宋" w:cs="仿宋"/>
          <w:b w:val="0"/>
          <w:bCs/>
          <w:color w:val="000000"/>
          <w:sz w:val="32"/>
          <w:szCs w:val="32"/>
          <w:lang w:val="en-US" w:eastAsia="zh-CN"/>
        </w:rPr>
        <w:t>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r>
        <w:rPr>
          <w:rFonts w:hint="eastAsia" w:ascii="仿宋" w:hAnsi="仿宋" w:eastAsia="仿宋" w:cs="仿宋"/>
          <w:b w:val="0"/>
          <w:bCs/>
          <w:color w:val="000000"/>
          <w:sz w:val="32"/>
          <w:szCs w:val="32"/>
          <w:lang w:val="en-US" w:eastAsia="zh-CN"/>
        </w:rPr>
        <w:t>。</w:t>
      </w:r>
    </w:p>
    <w:p>
      <w:pPr>
        <w:spacing w:line="640" w:lineRule="exact"/>
        <w:ind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（四）农林水支出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农村综合改革</w:t>
      </w:r>
      <w:r>
        <w:rPr>
          <w:rFonts w:hint="eastAsia" w:ascii="仿宋_GB2312" w:hAnsi="黑体" w:eastAsia="仿宋_GB2312"/>
          <w:b/>
          <w:bCs/>
          <w:sz w:val="32"/>
          <w:szCs w:val="32"/>
          <w:highlight w:val="none"/>
          <w:lang w:val="en-US"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1255000.00元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eastAsia="zh-CN"/>
        </w:rPr>
        <w:t>减少</w:t>
      </w:r>
      <w:r>
        <w:rPr>
          <w:rFonts w:hint="eastAsia" w:ascii="仿宋" w:hAnsi="仿宋" w:eastAsia="仿宋" w:cs="仿宋"/>
          <w:b w:val="0"/>
          <w:bCs w:val="0"/>
          <w:color w:val="000000"/>
          <w:sz w:val="32"/>
          <w:szCs w:val="32"/>
          <w:lang w:val="en-US" w:eastAsia="zh-CN"/>
        </w:rPr>
        <w:t>10.29%，其中：对村民委员会和村党支部的补助（项）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1255000.00元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eastAsia="zh-CN"/>
        </w:rPr>
        <w:t>减少</w:t>
      </w:r>
      <w:r>
        <w:rPr>
          <w:rFonts w:hint="eastAsia" w:ascii="仿宋" w:hAnsi="仿宋" w:eastAsia="仿宋" w:cs="仿宋"/>
          <w:b w:val="0"/>
          <w:bCs w:val="0"/>
          <w:color w:val="000000"/>
          <w:sz w:val="32"/>
          <w:szCs w:val="32"/>
          <w:lang w:val="en-US" w:eastAsia="zh-CN"/>
        </w:rPr>
        <w:t>10.29%，主要原因是村社干部人员减少</w:t>
      </w:r>
      <w:r>
        <w:rPr>
          <w:rFonts w:hint="eastAsia" w:ascii="仿宋" w:hAnsi="仿宋" w:eastAsia="仿宋" w:cs="仿宋"/>
          <w:b w:val="0"/>
          <w:bCs w:val="0"/>
          <w:color w:val="000000"/>
          <w:sz w:val="32"/>
          <w:szCs w:val="32"/>
          <w:lang w:eastAsia="zh-CN"/>
        </w:rPr>
        <w:t>。</w:t>
      </w:r>
    </w:p>
    <w:p>
      <w:pPr>
        <w:spacing w:line="640" w:lineRule="exact"/>
        <w:ind w:firstLine="643" w:firstLineChars="200"/>
        <w:rPr>
          <w:rFonts w:hint="eastAsia" w:ascii="仿宋" w:hAnsi="仿宋" w:eastAsia="仿宋" w:cs="仿宋"/>
          <w:b w:val="0"/>
          <w:bCs/>
          <w:color w:val="000000"/>
          <w:sz w:val="32"/>
          <w:szCs w:val="32"/>
          <w:lang w:val="en-US" w:eastAsia="zh-CN"/>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highlight w:val="none"/>
        </w:rPr>
        <w:t>2022年预算支出</w:t>
      </w:r>
      <w:r>
        <w:rPr>
          <w:rFonts w:hint="eastAsia" w:ascii="仿宋_GB2312" w:hAnsi="黑体" w:eastAsia="仿宋_GB2312"/>
          <w:b w:val="0"/>
          <w:bCs/>
          <w:sz w:val="32"/>
          <w:szCs w:val="32"/>
          <w:highlight w:val="none"/>
        </w:rPr>
        <w:t>369995.76</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w:t>
      </w:r>
      <w:r>
        <w:rPr>
          <w:rFonts w:hint="eastAsia" w:ascii="仿宋" w:hAnsi="仿宋" w:eastAsia="仿宋" w:cs="仿宋"/>
          <w:b w:val="0"/>
          <w:bCs/>
          <w:color w:val="000000"/>
          <w:sz w:val="32"/>
          <w:szCs w:val="32"/>
          <w:lang w:val="en-US" w:eastAsia="zh-CN"/>
        </w:rPr>
        <w:t>增加100%，其中：住房公积金（项）</w:t>
      </w:r>
      <w:r>
        <w:rPr>
          <w:rFonts w:hint="eastAsia" w:ascii="仿宋_GB2312" w:hAnsi="黑体" w:eastAsia="仿宋_GB2312"/>
          <w:sz w:val="32"/>
          <w:szCs w:val="32"/>
          <w:highlight w:val="none"/>
        </w:rPr>
        <w:t>2022年预算支出</w:t>
      </w:r>
      <w:r>
        <w:rPr>
          <w:rFonts w:hint="eastAsia" w:ascii="仿宋_GB2312" w:hAnsi="黑体" w:eastAsia="仿宋_GB2312"/>
          <w:b w:val="0"/>
          <w:bCs/>
          <w:sz w:val="32"/>
          <w:szCs w:val="32"/>
          <w:highlight w:val="none"/>
        </w:rPr>
        <w:t>369995.76</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w:t>
      </w:r>
      <w:r>
        <w:rPr>
          <w:rFonts w:hint="eastAsia" w:ascii="仿宋" w:hAnsi="仿宋" w:eastAsia="仿宋" w:cs="仿宋"/>
          <w:b w:val="0"/>
          <w:bCs/>
          <w:color w:val="000000"/>
          <w:sz w:val="32"/>
          <w:szCs w:val="32"/>
          <w:lang w:val="en-US" w:eastAsia="zh-CN"/>
        </w:rPr>
        <w:t>增加100%。主要原因2021年是住房公积金未单独列入单位预算。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2022年一般公共预算基本支出7041252.14</w:t>
      </w:r>
      <w:r>
        <w:rPr>
          <w:rFonts w:hint="eastAsia" w:ascii="仿宋_GB2312" w:hAnsi="黑体" w:eastAsia="仿宋_GB2312"/>
          <w:sz w:val="32"/>
          <w:szCs w:val="32"/>
          <w:highlight w:val="none"/>
          <w:lang w:eastAsia="zh-CN"/>
        </w:rPr>
        <w:t>元，比上年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1458993.14</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6541252.14</w:t>
      </w:r>
      <w:r>
        <w:rPr>
          <w:rFonts w:hint="eastAsia" w:ascii="仿宋_GB2312" w:hAnsi="黑体" w:eastAsia="仿宋_GB2312"/>
          <w:sz w:val="32"/>
          <w:szCs w:val="32"/>
          <w:highlight w:val="none"/>
        </w:rPr>
        <w:t>元，单位</w:t>
      </w:r>
      <w:r>
        <w:rPr>
          <w:rFonts w:hint="eastAsia" w:ascii="仿宋_GB2312" w:hAnsi="黑体" w:eastAsia="仿宋_GB2312"/>
          <w:sz w:val="32"/>
          <w:szCs w:val="32"/>
          <w:highlight w:val="none"/>
          <w:lang w:eastAsia="zh-CN"/>
        </w:rPr>
        <w:t>公用经费</w:t>
      </w:r>
      <w:r>
        <w:rPr>
          <w:rFonts w:hint="eastAsia" w:ascii="仿宋_GB2312" w:hAnsi="黑体" w:eastAsia="仿宋_GB2312"/>
          <w:sz w:val="32"/>
          <w:szCs w:val="32"/>
          <w:highlight w:val="none"/>
        </w:rPr>
        <w:t>500000.00元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主要原因：</w:t>
      </w:r>
      <w:r>
        <w:rPr>
          <w:rFonts w:hint="eastAsia" w:ascii="仿宋_GB2312" w:hAnsi="黑体" w:eastAsia="仿宋_GB2312"/>
          <w:sz w:val="32"/>
          <w:szCs w:val="32"/>
          <w:lang w:eastAsia="zh-CN"/>
        </w:rPr>
        <w:t>各项支出按实际发放预算相应增加。</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部门一般公共预算基本支出情况说明</w:t>
      </w:r>
    </w:p>
    <w:p>
      <w:pPr>
        <w:numPr>
          <w:numId w:val="0"/>
        </w:num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2022年项目支出1325000.00元，比上年减少5.29%，主要原因是项目较上年减少。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w:t>
      </w:r>
      <w:bookmarkStart w:id="0" w:name="_GoBack"/>
      <w:bookmarkEnd w:id="0"/>
      <w:r>
        <w:rPr>
          <w:rFonts w:hint="eastAsia" w:ascii="仿宋_GB2312" w:hAnsi="黑体" w:eastAsia="仿宋_GB2312"/>
          <w:sz w:val="32"/>
          <w:szCs w:val="32"/>
          <w:highlight w:val="none"/>
        </w:rPr>
        <w:t>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元。政府采购预算146160.00元，比上年预算数增加</w:t>
      </w:r>
      <w:r>
        <w:rPr>
          <w:rFonts w:hint="eastAsia" w:ascii="仿宋_GB2312" w:hAnsi="黑体" w:eastAsia="仿宋_GB2312"/>
          <w:sz w:val="32"/>
          <w:szCs w:val="32"/>
          <w:highlight w:val="none"/>
          <w:lang w:val="en-US" w:eastAsia="zh-CN"/>
        </w:rPr>
        <w:t>56160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62.4</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政府采购增加</w:t>
      </w:r>
      <w:r>
        <w:rPr>
          <w:rFonts w:hint="eastAsia" w:ascii="仿宋_GB2312" w:hAnsi="黑体" w:eastAsia="仿宋_GB2312"/>
          <w:sz w:val="32"/>
          <w:szCs w:val="32"/>
          <w:highlight w:val="none"/>
        </w:rPr>
        <w:t>，其中：政府采购货物预算146160.00元，政府采购工程预算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CC31289"/>
    <w:rsid w:val="0D824E94"/>
    <w:rsid w:val="0E6F37D9"/>
    <w:rsid w:val="10E97429"/>
    <w:rsid w:val="112936A0"/>
    <w:rsid w:val="1250416D"/>
    <w:rsid w:val="13B82E0D"/>
    <w:rsid w:val="141D039C"/>
    <w:rsid w:val="17432B85"/>
    <w:rsid w:val="1909264A"/>
    <w:rsid w:val="198119BE"/>
    <w:rsid w:val="1B78482C"/>
    <w:rsid w:val="1C6D1D31"/>
    <w:rsid w:val="1D654F62"/>
    <w:rsid w:val="1F046829"/>
    <w:rsid w:val="204B1966"/>
    <w:rsid w:val="205A7194"/>
    <w:rsid w:val="210F4887"/>
    <w:rsid w:val="22273516"/>
    <w:rsid w:val="2233056C"/>
    <w:rsid w:val="22DF561F"/>
    <w:rsid w:val="23513756"/>
    <w:rsid w:val="250F1490"/>
    <w:rsid w:val="25EF3DCB"/>
    <w:rsid w:val="292A0545"/>
    <w:rsid w:val="29C34554"/>
    <w:rsid w:val="2B26350E"/>
    <w:rsid w:val="2B5C1C56"/>
    <w:rsid w:val="2BCF3D4E"/>
    <w:rsid w:val="2C5660A3"/>
    <w:rsid w:val="2D550DF7"/>
    <w:rsid w:val="2DBA0562"/>
    <w:rsid w:val="31352995"/>
    <w:rsid w:val="32A96D1A"/>
    <w:rsid w:val="34032DB0"/>
    <w:rsid w:val="34B82D6F"/>
    <w:rsid w:val="373703E1"/>
    <w:rsid w:val="37580FE7"/>
    <w:rsid w:val="390B4298"/>
    <w:rsid w:val="396616D2"/>
    <w:rsid w:val="39A71DAE"/>
    <w:rsid w:val="3D8C4411"/>
    <w:rsid w:val="3D8C66EA"/>
    <w:rsid w:val="40465DD0"/>
    <w:rsid w:val="40CC1D5D"/>
    <w:rsid w:val="416268DB"/>
    <w:rsid w:val="43313DC6"/>
    <w:rsid w:val="452F6292"/>
    <w:rsid w:val="45322F35"/>
    <w:rsid w:val="47AF499B"/>
    <w:rsid w:val="484D612A"/>
    <w:rsid w:val="48A9072C"/>
    <w:rsid w:val="49480AF6"/>
    <w:rsid w:val="49831FB1"/>
    <w:rsid w:val="4D7D3CFD"/>
    <w:rsid w:val="4D903B41"/>
    <w:rsid w:val="4DA8126D"/>
    <w:rsid w:val="4DD72226"/>
    <w:rsid w:val="4EA300AE"/>
    <w:rsid w:val="50622DD8"/>
    <w:rsid w:val="50A218B6"/>
    <w:rsid w:val="51C77E42"/>
    <w:rsid w:val="54B1376D"/>
    <w:rsid w:val="56311F34"/>
    <w:rsid w:val="564548F7"/>
    <w:rsid w:val="565305B1"/>
    <w:rsid w:val="56C73340"/>
    <w:rsid w:val="59441D15"/>
    <w:rsid w:val="5A3206F2"/>
    <w:rsid w:val="5C483FAA"/>
    <w:rsid w:val="5DE8634B"/>
    <w:rsid w:val="61EF1B1B"/>
    <w:rsid w:val="621A3658"/>
    <w:rsid w:val="62B62979"/>
    <w:rsid w:val="64252B6E"/>
    <w:rsid w:val="651520BC"/>
    <w:rsid w:val="661A6258"/>
    <w:rsid w:val="69B67D29"/>
    <w:rsid w:val="6A136FDE"/>
    <w:rsid w:val="6A752B54"/>
    <w:rsid w:val="6C8703FB"/>
    <w:rsid w:val="6EA6456E"/>
    <w:rsid w:val="72F835B9"/>
    <w:rsid w:val="74517818"/>
    <w:rsid w:val="75840CDB"/>
    <w:rsid w:val="75FA50B5"/>
    <w:rsid w:val="76C53359"/>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61"/>
    <w:basedOn w:val="8"/>
    <w:qFormat/>
    <w:uiPriority w:val="0"/>
    <w:rPr>
      <w:rFonts w:hint="eastAsia" w:ascii="宋体" w:hAnsi="宋体" w:eastAsia="宋体" w:cs="宋体"/>
      <w:color w:val="000000"/>
      <w:sz w:val="18"/>
      <w:szCs w:val="18"/>
      <w:u w:val="none"/>
    </w:rPr>
  </w:style>
  <w:style w:type="character" w:customStyle="1" w:styleId="13">
    <w:name w:val="font51"/>
    <w:basedOn w:val="8"/>
    <w:qFormat/>
    <w:uiPriority w:val="0"/>
    <w:rPr>
      <w:rFonts w:hint="default" w:ascii="Calibri" w:hAnsi="Calibri" w:cs="Calibri"/>
      <w:color w:val="00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3845</Words>
  <Characters>4308</Characters>
  <Lines>16</Lines>
  <Paragraphs>4</Paragraphs>
  <TotalTime>3</TotalTime>
  <ScaleCrop>false</ScaleCrop>
  <LinksUpToDate>false</LinksUpToDate>
  <CharactersWithSpaces>4367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2023-06-08T03:51:50Z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2C2B1E33EB5A43F09A17393C6590B243</vt:lpwstr>
  </property>
</Properties>
</file>