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eastAsia="zh-CN"/>
        </w:rPr>
        <w:t>达板镇卫生院</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ind w:firstLine="600" w:firstLineChars="200"/>
        <w:rPr>
          <w:rFonts w:hint="eastAsia" w:ascii="仿宋_GB2312" w:hAnsi="仿宋_GB2312" w:eastAsia="仿宋_GB2312" w:cs="仿宋_GB2312"/>
          <w:b w:val="0"/>
          <w:bCs/>
          <w:sz w:val="30"/>
          <w:szCs w:val="30"/>
        </w:rPr>
      </w:pPr>
      <w:bookmarkStart w:id="16" w:name="bookmark24"/>
      <w:r>
        <w:rPr>
          <w:rFonts w:hint="eastAsia" w:ascii="仿宋_GB2312" w:hAnsi="仿宋_GB2312" w:eastAsia="仿宋_GB2312" w:cs="仿宋_GB2312"/>
          <w:b w:val="0"/>
          <w:bCs/>
          <w:color w:val="000000" w:themeColor="text1"/>
          <w:sz w:val="30"/>
          <w:szCs w:val="30"/>
          <w14:textFill>
            <w14:solidFill>
              <w14:schemeClr w14:val="tx1"/>
            </w14:solidFill>
          </w14:textFill>
        </w:rPr>
        <w:t>本院现有职工</w:t>
      </w:r>
      <w:r>
        <w:rPr>
          <w:rFonts w:hint="eastAsia" w:ascii="仿宋_GB2312" w:hAnsi="仿宋_GB2312" w:eastAsia="仿宋_GB2312" w:cs="仿宋_GB2312"/>
          <w:b w:val="0"/>
          <w:bCs/>
          <w:color w:val="000000" w:themeColor="text1"/>
          <w:sz w:val="30"/>
          <w:szCs w:val="30"/>
          <w:lang w:val="en-US" w:eastAsia="zh-CN"/>
          <w14:textFill>
            <w14:solidFill>
              <w14:schemeClr w14:val="tx1"/>
            </w14:solidFill>
          </w14:textFill>
        </w:rPr>
        <w:t>63</w:t>
      </w:r>
      <w:r>
        <w:rPr>
          <w:rFonts w:hint="eastAsia" w:ascii="仿宋_GB2312" w:hAnsi="仿宋_GB2312" w:eastAsia="仿宋_GB2312" w:cs="仿宋_GB2312"/>
          <w:b w:val="0"/>
          <w:bCs/>
          <w:sz w:val="30"/>
          <w:szCs w:val="30"/>
        </w:rPr>
        <w:t>名，</w:t>
      </w:r>
      <w:r>
        <w:rPr>
          <w:rFonts w:hint="eastAsia" w:ascii="仿宋_GB2312" w:hAnsi="仿宋_GB2312" w:eastAsia="仿宋_GB2312" w:cs="仿宋_GB2312"/>
          <w:b w:val="0"/>
          <w:bCs/>
          <w:sz w:val="30"/>
          <w:szCs w:val="30"/>
          <w:lang w:eastAsia="zh-CN"/>
        </w:rPr>
        <w:t>正式工</w:t>
      </w:r>
      <w:r>
        <w:rPr>
          <w:rFonts w:hint="eastAsia" w:ascii="仿宋_GB2312" w:hAnsi="仿宋_GB2312" w:eastAsia="仿宋_GB2312" w:cs="仿宋_GB2312"/>
          <w:b w:val="0"/>
          <w:bCs/>
          <w:sz w:val="30"/>
          <w:szCs w:val="30"/>
          <w:lang w:val="en-US" w:eastAsia="zh-CN"/>
        </w:rPr>
        <w:t>40（其中</w:t>
      </w:r>
      <w:r>
        <w:rPr>
          <w:rFonts w:hint="eastAsia" w:ascii="仿宋_GB2312" w:hAnsi="仿宋_GB2312" w:eastAsia="仿宋_GB2312" w:cs="仿宋_GB2312"/>
          <w:b w:val="0"/>
          <w:bCs/>
          <w:sz w:val="30"/>
          <w:szCs w:val="30"/>
        </w:rPr>
        <w:t>编制</w:t>
      </w:r>
      <w:r>
        <w:rPr>
          <w:rFonts w:hint="eastAsia" w:ascii="仿宋_GB2312" w:hAnsi="仿宋_GB2312" w:eastAsia="仿宋_GB2312" w:cs="仿宋_GB2312"/>
          <w:b w:val="0"/>
          <w:bCs/>
          <w:sz w:val="30"/>
          <w:szCs w:val="30"/>
          <w:lang w:val="en-US" w:eastAsia="zh-CN"/>
        </w:rPr>
        <w:t>24</w:t>
      </w:r>
      <w:r>
        <w:rPr>
          <w:rFonts w:hint="eastAsia" w:ascii="仿宋_GB2312" w:hAnsi="仿宋_GB2312" w:eastAsia="仿宋_GB2312" w:cs="仿宋_GB2312"/>
          <w:b w:val="0"/>
          <w:bCs/>
          <w:sz w:val="30"/>
          <w:szCs w:val="30"/>
        </w:rPr>
        <w:t>名</w:t>
      </w:r>
      <w:r>
        <w:rPr>
          <w:rFonts w:hint="eastAsia" w:ascii="仿宋_GB2312" w:hAnsi="仿宋_GB2312" w:eastAsia="仿宋_GB2312" w:cs="仿宋_GB2312"/>
          <w:b w:val="0"/>
          <w:bCs/>
          <w:sz w:val="30"/>
          <w:szCs w:val="30"/>
          <w:lang w:val="en-US" w:eastAsia="zh-CN"/>
        </w:rPr>
        <w:t>）</w:t>
      </w:r>
      <w:r>
        <w:rPr>
          <w:rFonts w:hint="eastAsia" w:ascii="仿宋_GB2312" w:hAnsi="仿宋_GB2312" w:eastAsia="仿宋_GB2312" w:cs="仿宋_GB2312"/>
          <w:b w:val="0"/>
          <w:bCs/>
          <w:sz w:val="30"/>
          <w:szCs w:val="30"/>
        </w:rPr>
        <w:t>，同工同酬5名，</w:t>
      </w:r>
      <w:r>
        <w:rPr>
          <w:rFonts w:hint="eastAsia" w:ascii="仿宋_GB2312" w:hAnsi="仿宋_GB2312" w:eastAsia="仿宋_GB2312" w:cs="仿宋_GB2312"/>
          <w:b w:val="0"/>
          <w:bCs/>
          <w:sz w:val="30"/>
          <w:szCs w:val="30"/>
          <w:lang w:val="en-US" w:eastAsia="zh-CN"/>
        </w:rPr>
        <w:t>特岗1名，</w:t>
      </w:r>
      <w:r>
        <w:rPr>
          <w:rFonts w:hint="eastAsia" w:ascii="仿宋_GB2312" w:hAnsi="仿宋_GB2312" w:eastAsia="仿宋_GB2312" w:cs="仿宋_GB2312"/>
          <w:b w:val="0"/>
          <w:bCs/>
          <w:sz w:val="30"/>
          <w:szCs w:val="30"/>
        </w:rPr>
        <w:t>临时工</w:t>
      </w:r>
      <w:r>
        <w:rPr>
          <w:rFonts w:hint="eastAsia" w:ascii="仿宋_GB2312" w:hAnsi="仿宋_GB2312" w:eastAsia="仿宋_GB2312" w:cs="仿宋_GB2312"/>
          <w:b w:val="0"/>
          <w:bCs/>
          <w:sz w:val="30"/>
          <w:szCs w:val="30"/>
          <w:lang w:val="en-US" w:eastAsia="zh-CN"/>
        </w:rPr>
        <w:t>17</w:t>
      </w:r>
      <w:r>
        <w:rPr>
          <w:rFonts w:hint="eastAsia" w:ascii="仿宋_GB2312" w:hAnsi="仿宋_GB2312" w:eastAsia="仿宋_GB2312" w:cs="仿宋_GB2312"/>
          <w:b w:val="0"/>
          <w:bCs/>
          <w:sz w:val="30"/>
          <w:szCs w:val="30"/>
        </w:rPr>
        <w:t>名，承担着本辖区内人口的基本医疗预防保健等工作。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snapToGrid w:val="0"/>
        <w:spacing w:line="336" w:lineRule="auto"/>
        <w:ind w:firstLine="600" w:firstLineChars="20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内科、外科、妇幼保健科、检验科、放射科、免疫规划科、药房、收费室、</w:t>
      </w:r>
      <w:r>
        <w:rPr>
          <w:rFonts w:hint="eastAsia" w:ascii="仿宋_GB2312" w:hAnsi="仿宋_GB2312" w:eastAsia="仿宋_GB2312" w:cs="仿宋_GB2312"/>
          <w:b w:val="0"/>
          <w:bCs w:val="0"/>
          <w:sz w:val="30"/>
          <w:szCs w:val="30"/>
          <w:lang w:eastAsia="zh-CN"/>
        </w:rPr>
        <w:t>财务科</w:t>
      </w:r>
      <w:r>
        <w:rPr>
          <w:rFonts w:hint="eastAsia" w:ascii="仿宋_GB2312" w:hAnsi="仿宋_GB2312" w:eastAsia="仿宋_GB2312" w:cs="仿宋_GB2312"/>
          <w:b w:val="0"/>
          <w:bCs w:val="0"/>
          <w:sz w:val="30"/>
          <w:szCs w:val="30"/>
        </w:rPr>
        <w:t>。</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2021年度收入总计9617162.28元，支出总计9926571.88元，与2020年决算数相比，收入增加3699005.75元，增长38%，支出增加2909093.78元，增长29%。主要原因是公职</w:t>
      </w:r>
      <w:r>
        <w:rPr>
          <w:rFonts w:hint="eastAsia" w:ascii="仿宋_GB2312" w:hAnsi="仿宋_GB2312" w:eastAsia="仿宋_GB2312" w:cs="仿宋_GB2312"/>
          <w:color w:val="000000"/>
          <w:spacing w:val="0"/>
          <w:w w:val="100"/>
          <w:position w:val="0"/>
          <w:sz w:val="32"/>
          <w:szCs w:val="32"/>
          <w:lang w:eastAsia="zh-CN"/>
        </w:rPr>
        <w:t>人员增加，服务人口增长。</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9617162.2</w:t>
      </w:r>
      <w:r>
        <w:rPr>
          <w:rFonts w:hint="eastAsia" w:ascii="仿宋_GB2312" w:hAnsi="仿宋_GB2312" w:eastAsia="仿宋_GB2312" w:cs="仿宋_GB2312"/>
          <w:color w:val="000000"/>
          <w:spacing w:val="0"/>
          <w:w w:val="100"/>
          <w:position w:val="0"/>
          <w:sz w:val="32"/>
          <w:szCs w:val="32"/>
        </w:rPr>
        <w:t>元，其中：财政拨款收入7573071.18元，占</w:t>
      </w:r>
      <w:r>
        <w:rPr>
          <w:rFonts w:hint="eastAsia" w:ascii="仿宋_GB2312" w:hAnsi="仿宋_GB2312" w:eastAsia="仿宋_GB2312" w:cs="仿宋_GB2312"/>
          <w:color w:val="000000"/>
          <w:spacing w:val="0"/>
          <w:w w:val="100"/>
          <w:position w:val="0"/>
          <w:sz w:val="32"/>
          <w:szCs w:val="32"/>
          <w:lang w:val="en-US" w:eastAsia="zh-CN"/>
        </w:rPr>
        <w:t>79</w:t>
      </w:r>
      <w:r>
        <w:rPr>
          <w:rFonts w:hint="eastAsia" w:ascii="仿宋_GB2312" w:hAnsi="仿宋_GB2312" w:eastAsia="仿宋_GB2312" w:cs="仿宋_GB2312"/>
          <w:color w:val="000000"/>
          <w:spacing w:val="0"/>
          <w:w w:val="100"/>
          <w:position w:val="0"/>
          <w:sz w:val="32"/>
          <w:szCs w:val="32"/>
        </w:rPr>
        <w:t>%;事业收入2044091.1元，占</w:t>
      </w:r>
      <w:r>
        <w:rPr>
          <w:rFonts w:hint="eastAsia" w:ascii="仿宋_GB2312" w:hAnsi="仿宋_GB2312" w:eastAsia="仿宋_GB2312" w:cs="仿宋_GB2312"/>
          <w:color w:val="000000"/>
          <w:spacing w:val="0"/>
          <w:w w:val="100"/>
          <w:position w:val="0"/>
          <w:sz w:val="32"/>
          <w:szCs w:val="32"/>
          <w:lang w:val="en-US" w:eastAsia="zh-CN"/>
        </w:rPr>
        <w:t>21</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9926571.88</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en-US" w:bidi="en-US"/>
        </w:rPr>
        <w:t>7140678.04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72</w:t>
      </w:r>
      <w:r>
        <w:rPr>
          <w:rFonts w:hint="eastAsia" w:ascii="仿宋_GB2312" w:hAnsi="仿宋_GB2312" w:eastAsia="仿宋_GB2312" w:cs="仿宋_GB2312"/>
          <w:color w:val="000000"/>
          <w:spacing w:val="0"/>
          <w:w w:val="100"/>
          <w:position w:val="0"/>
          <w:sz w:val="32"/>
          <w:szCs w:val="32"/>
        </w:rPr>
        <w:t>%；项目支出2785893.84元，占</w:t>
      </w:r>
      <w:r>
        <w:rPr>
          <w:rFonts w:hint="eastAsia" w:ascii="仿宋_GB2312" w:hAnsi="仿宋_GB2312" w:eastAsia="仿宋_GB2312" w:cs="仿宋_GB2312"/>
          <w:color w:val="000000"/>
          <w:spacing w:val="0"/>
          <w:w w:val="100"/>
          <w:position w:val="0"/>
          <w:sz w:val="32"/>
          <w:szCs w:val="32"/>
          <w:lang w:val="en-US" w:eastAsia="zh-CN"/>
        </w:rPr>
        <w:t>28</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年度财政拨款收入4787177.34元，较上年决算数增加</w:t>
      </w:r>
      <w:r>
        <w:rPr>
          <w:rFonts w:hint="eastAsia" w:ascii="仿宋_GB2312" w:hAnsi="仿宋_GB2312" w:eastAsia="仿宋_GB2312" w:cs="仿宋_GB2312"/>
          <w:color w:val="000000"/>
          <w:spacing w:val="0"/>
          <w:w w:val="100"/>
          <w:position w:val="0"/>
          <w:sz w:val="32"/>
          <w:szCs w:val="32"/>
          <w:lang w:val="en-US" w:eastAsia="zh-CN"/>
        </w:rPr>
        <w:t>523046.82</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11</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主要原因是公职</w:t>
      </w:r>
      <w:r>
        <w:rPr>
          <w:rFonts w:hint="eastAsia" w:ascii="仿宋_GB2312" w:hAnsi="仿宋_GB2312" w:eastAsia="仿宋_GB2312" w:cs="仿宋_GB2312"/>
          <w:color w:val="000000"/>
          <w:spacing w:val="0"/>
          <w:w w:val="100"/>
          <w:position w:val="0"/>
          <w:sz w:val="32"/>
          <w:szCs w:val="32"/>
          <w:lang w:eastAsia="zh-CN"/>
        </w:rPr>
        <w:t>人员增加，服务人口增长</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年度财政拨款支出4787177.34元，较上年决算数增加</w:t>
      </w:r>
      <w:r>
        <w:rPr>
          <w:rFonts w:hint="eastAsia" w:ascii="仿宋_GB2312" w:hAnsi="仿宋_GB2312" w:eastAsia="仿宋_GB2312" w:cs="仿宋_GB2312"/>
          <w:color w:val="000000"/>
          <w:spacing w:val="0"/>
          <w:w w:val="100"/>
          <w:position w:val="0"/>
          <w:sz w:val="32"/>
          <w:szCs w:val="32"/>
          <w:lang w:val="en-US" w:eastAsia="zh-CN"/>
        </w:rPr>
        <w:t>523046.82</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11</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主要原因是公职</w:t>
      </w:r>
      <w:r>
        <w:rPr>
          <w:rFonts w:hint="eastAsia" w:ascii="仿宋_GB2312" w:hAnsi="仿宋_GB2312" w:eastAsia="仿宋_GB2312" w:cs="仿宋_GB2312"/>
          <w:color w:val="000000"/>
          <w:spacing w:val="0"/>
          <w:w w:val="100"/>
          <w:position w:val="0"/>
          <w:sz w:val="32"/>
          <w:szCs w:val="32"/>
          <w:lang w:eastAsia="zh-CN"/>
        </w:rPr>
        <w:t>人员增加，服务人口增长</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w:t>
      </w:r>
      <w:r>
        <w:rPr>
          <w:rFonts w:hint="eastAsia" w:ascii="仿宋_GB2312" w:hAnsi="仿宋_GB2312" w:eastAsia="仿宋_GB2312" w:cs="仿宋_GB2312"/>
          <w:color w:val="000000"/>
          <w:spacing w:val="0"/>
          <w:w w:val="100"/>
          <w:position w:val="0"/>
          <w:sz w:val="32"/>
          <w:szCs w:val="32"/>
        </w:rPr>
        <w:t>4787177.34</w:t>
      </w:r>
      <w:r>
        <w:rPr>
          <w:rFonts w:hint="eastAsia" w:ascii="仿宋_GB2312" w:hAnsi="仿宋_GB2312" w:eastAsia="仿宋_GB2312" w:cs="仿宋_GB2312"/>
          <w:color w:val="000000"/>
          <w:spacing w:val="0"/>
          <w:w w:val="100"/>
          <w:position w:val="0"/>
          <w:sz w:val="32"/>
          <w:szCs w:val="32"/>
          <w:lang w:val="en-US" w:eastAsia="zh-CN"/>
        </w:rPr>
        <w:t>万元，占本年支出的 100%，较上年决算数增加523046.82</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11</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主要原因是增人增资</w:t>
      </w:r>
      <w:r>
        <w:rPr>
          <w:rFonts w:hint="eastAsia" w:ascii="仿宋_GB2312" w:hAnsi="仿宋_GB2312" w:eastAsia="仿宋_GB2312" w:cs="仿宋_GB2312"/>
          <w:color w:val="000000"/>
          <w:spacing w:val="0"/>
          <w:w w:val="100"/>
          <w:position w:val="0"/>
          <w:sz w:val="32"/>
          <w:szCs w:val="32"/>
          <w:lang w:eastAsia="zh-CN"/>
        </w:rPr>
        <w:t>，服务人口增长</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主要用于以下几个方面：</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337776.96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22</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卫生健康支出7235294.22元，占</w:t>
      </w:r>
      <w:r>
        <w:rPr>
          <w:rFonts w:hint="eastAsia" w:ascii="仿宋_GB2312" w:hAnsi="仿宋_GB2312" w:eastAsia="仿宋_GB2312" w:cs="仿宋_GB2312"/>
          <w:color w:val="000000"/>
          <w:spacing w:val="0"/>
          <w:w w:val="100"/>
          <w:position w:val="0"/>
          <w:sz w:val="32"/>
          <w:szCs w:val="32"/>
          <w:lang w:val="en-US" w:eastAsia="zh-CN"/>
        </w:rPr>
        <w:t>78</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fldChar w:fldCharType="end"/>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4787177.34</w:t>
      </w:r>
      <w:r>
        <w:rPr>
          <w:rFonts w:hint="eastAsia" w:ascii="仿宋_GB2312" w:hAnsi="仿宋_GB2312" w:eastAsia="仿宋_GB2312" w:cs="仿宋_GB2312"/>
          <w:color w:val="000000"/>
          <w:spacing w:val="0"/>
          <w:w w:val="100"/>
          <w:position w:val="0"/>
          <w:sz w:val="32"/>
          <w:szCs w:val="32"/>
        </w:rPr>
        <w:t>元。其中：人员经费4177473.34元，较上年增加***元，主要原因是增人增资。人员经费用途主要包括：基本工资、津贴补贴、对个人和家庭的补助，生活补助医疗费，奖励金、采暖补贴</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社会保障缴费等）。公用经费609704</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，较上年</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646351.23</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公共卫生服务增多</w:t>
      </w:r>
      <w:r>
        <w:rPr>
          <w:rFonts w:hint="eastAsia" w:ascii="仿宋_GB2312" w:hAnsi="仿宋_GB2312" w:eastAsia="仿宋_GB2312" w:cs="仿宋_GB2312"/>
          <w:color w:val="000000"/>
          <w:spacing w:val="0"/>
          <w:w w:val="100"/>
          <w:position w:val="0"/>
          <w:sz w:val="32"/>
          <w:szCs w:val="32"/>
        </w:rPr>
        <w:t>，公用经费用途主要包括</w:t>
      </w:r>
      <w:r>
        <w:rPr>
          <w:rFonts w:hint="eastAsia" w:ascii="仿宋_GB2312" w:hAnsi="仿宋_GB2312" w:eastAsia="仿宋_GB2312" w:cs="仿宋_GB2312"/>
          <w:color w:val="000000"/>
          <w:spacing w:val="0"/>
          <w:w w:val="100"/>
          <w:position w:val="0"/>
          <w:sz w:val="32"/>
          <w:szCs w:val="32"/>
          <w:lang w:eastAsia="zh-CN"/>
        </w:rPr>
        <w:t>：电费、专用材料费、租赁费、取暖费、 邮电费、</w:t>
      </w:r>
      <w:r>
        <w:rPr>
          <w:rFonts w:hint="eastAsia" w:ascii="仿宋_GB2312" w:hAnsi="仿宋_GB2312" w:eastAsia="仿宋_GB2312" w:cs="仿宋_GB2312"/>
          <w:color w:val="000000"/>
          <w:spacing w:val="0"/>
          <w:w w:val="100"/>
          <w:position w:val="0"/>
          <w:sz w:val="32"/>
          <w:szCs w:val="32"/>
        </w:rPr>
        <w:t>办公费、印刷费、咨询费、手续费等。</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：本部分至少应包括部门（本单位）收入、支出、结转（余）等决算数据的具体情况，并说明上下年收支增减变化情况和原因、预决算收支差异情况和原因等，不得删减。其他内容可根据需要进行增加补充。）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3"/>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right="0" w:firstLine="851" w:firstLineChars="266"/>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609704</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专用材料费</w:t>
      </w:r>
      <w:r>
        <w:rPr>
          <w:rFonts w:hint="eastAsia" w:ascii="仿宋_GB2312" w:hAnsi="仿宋_GB2312" w:eastAsia="仿宋_GB2312" w:cs="仿宋_GB2312"/>
          <w:color w:val="000000"/>
          <w:spacing w:val="0"/>
          <w:w w:val="100"/>
          <w:position w:val="0"/>
          <w:sz w:val="32"/>
          <w:szCs w:val="32"/>
        </w:rPr>
        <w:t>609704元。机关运行经费较</w:t>
      </w:r>
      <w:r>
        <w:rPr>
          <w:rFonts w:hint="eastAsia" w:ascii="仿宋_GB2312" w:hAnsi="仿宋_GB2312" w:eastAsia="仿宋_GB2312" w:cs="仿宋_GB2312"/>
          <w:color w:val="000000"/>
          <w:spacing w:val="0"/>
          <w:w w:val="100"/>
          <w:position w:val="0"/>
          <w:sz w:val="32"/>
          <w:szCs w:val="32"/>
          <w:lang w:val="en-US" w:eastAsia="zh-CN"/>
        </w:rPr>
        <w:t>2020</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346886.8</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57</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减少购置设备、耗材等</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年12月31日，本部门（本单位）共有车辆车辆</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color w:val="000000"/>
          <w:spacing w:val="0"/>
          <w:w w:val="100"/>
          <w:position w:val="0"/>
          <w:sz w:val="32"/>
          <w:szCs w:val="32"/>
          <w:lang w:val="en-US" w:eastAsia="zh-CN"/>
        </w:rPr>
        <w:t>其</w:t>
      </w:r>
      <w:r>
        <w:rPr>
          <w:rFonts w:hint="eastAsia" w:ascii="仿宋_GB2312" w:hAnsi="仿宋_GB2312" w:eastAsia="仿宋_GB2312" w:cs="仿宋_GB2312"/>
          <w:color w:val="000000"/>
          <w:spacing w:val="0"/>
          <w:w w:val="100"/>
          <w:position w:val="0"/>
          <w:sz w:val="32"/>
          <w:szCs w:val="32"/>
        </w:rPr>
        <w:t>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 单价50</w:t>
      </w:r>
      <w:r>
        <w:rPr>
          <w:rFonts w:hint="eastAsia" w:ascii="仿宋_GB2312" w:hAnsi="仿宋_GB2312" w:eastAsia="仿宋_GB2312" w:cs="仿宋_GB2312"/>
          <w:color w:val="000000"/>
          <w:spacing w:val="0"/>
          <w:w w:val="100"/>
          <w:position w:val="0"/>
          <w:sz w:val="32"/>
          <w:szCs w:val="32"/>
          <w:lang w:eastAsia="zh-CN"/>
        </w:rPr>
        <w:t>万元</w:t>
      </w:r>
      <w:r>
        <w:rPr>
          <w:rFonts w:hint="eastAsia" w:ascii="仿宋_GB2312" w:hAnsi="仿宋_GB2312" w:eastAsia="仿宋_GB2312" w:cs="仿宋_GB2312"/>
          <w:color w:val="000000"/>
          <w:spacing w:val="0"/>
          <w:w w:val="100"/>
          <w:position w:val="0"/>
          <w:sz w:val="32"/>
          <w:szCs w:val="32"/>
        </w:rPr>
        <w:t>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w:t>
      </w:r>
      <w:r>
        <w:rPr>
          <w:rFonts w:hint="eastAsia" w:ascii="仿宋_GB2312" w:hAnsi="仿宋_GB2312" w:eastAsia="仿宋_GB2312" w:cs="仿宋_GB2312"/>
          <w:color w:val="000000"/>
          <w:spacing w:val="0"/>
          <w:w w:val="100"/>
          <w:position w:val="0"/>
          <w:sz w:val="32"/>
          <w:szCs w:val="32"/>
          <w:lang w:eastAsia="zh-CN"/>
        </w:rPr>
        <w:t>万元</w:t>
      </w:r>
      <w:r>
        <w:rPr>
          <w:rFonts w:hint="eastAsia" w:ascii="仿宋_GB2312" w:hAnsi="仿宋_GB2312" w:eastAsia="仿宋_GB2312" w:cs="仿宋_GB2312"/>
          <w:color w:val="000000"/>
          <w:spacing w:val="0"/>
          <w:w w:val="100"/>
          <w:position w:val="0"/>
          <w:sz w:val="32"/>
          <w:szCs w:val="32"/>
        </w:rPr>
        <w:t>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：如果无收支，则写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r>
        <w:rPr>
          <w:rFonts w:hint="default"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：如果无支出，则写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928608</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已实施考核方案。</w:t>
      </w:r>
    </w:p>
    <w:p>
      <w:pPr>
        <w:pStyle w:val="13"/>
        <w:keepNext w:val="0"/>
        <w:keepLines w:val="0"/>
        <w:pageBreakBefore w:val="0"/>
        <w:widowControl w:val="0"/>
        <w:numPr>
          <w:ilvl w:val="0"/>
          <w:numId w:val="3"/>
        </w:numPr>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bookmarkStart w:id="18" w:name="bookmark33"/>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w:t>
      </w:r>
      <w:bookmarkStart w:id="19" w:name="_GoBack"/>
      <w:bookmarkEnd w:id="19"/>
      <w:r>
        <w:rPr>
          <w:rFonts w:hint="eastAsia" w:ascii="仿宋_GB2312" w:hAnsi="仿宋_GB2312" w:eastAsia="仿宋_GB2312" w:cs="仿宋_GB2312"/>
          <w:color w:val="000000"/>
          <w:spacing w:val="0"/>
          <w:w w:val="100"/>
          <w:position w:val="0"/>
          <w:sz w:val="32"/>
          <w:szCs w:val="32"/>
        </w:rPr>
        <w:t>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01D8CE"/>
    <w:multiLevelType w:val="singleLevel"/>
    <w:tmpl w:val="E101D8CE"/>
    <w:lvl w:ilvl="0" w:tentative="0">
      <w:start w:val="2"/>
      <w:numFmt w:val="chineseCounting"/>
      <w:lvlText w:val="（%1）"/>
      <w:lvlJc w:val="left"/>
      <w:rPr>
        <w:rFonts w:hint="eastAsia"/>
      </w:rPr>
    </w:lvl>
  </w:abstractNum>
  <w:abstractNum w:abstractNumId="1">
    <w:nsid w:val="37BE8353"/>
    <w:multiLevelType w:val="singleLevel"/>
    <w:tmpl w:val="37BE8353"/>
    <w:lvl w:ilvl="0" w:tentative="0">
      <w:start w:val="3"/>
      <w:numFmt w:val="chineseCounting"/>
      <w:suff w:val="space"/>
      <w:lvlText w:val="第%1部分"/>
      <w:lvlJc w:val="left"/>
      <w:rPr>
        <w:rFonts w:hint="eastAsia"/>
      </w:rPr>
    </w:lvl>
  </w:abstractNum>
  <w:abstractNum w:abstractNumId="2">
    <w:nsid w:val="3FA184EB"/>
    <w:multiLevelType w:val="singleLevel"/>
    <w:tmpl w:val="3FA184EB"/>
    <w:lvl w:ilvl="0" w:tentative="0">
      <w:start w:val="8"/>
      <w:numFmt w:val="chineseCount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jVhMTI1ZGViYTI4M2FhMjlkYzllMzNjNTM3NjI2NGQifQ=="/>
  </w:docVars>
  <w:rsids>
    <w:rsidRoot w:val="00000000"/>
    <w:rsid w:val="0511788F"/>
    <w:rsid w:val="06AA1511"/>
    <w:rsid w:val="0A4C6688"/>
    <w:rsid w:val="1739327C"/>
    <w:rsid w:val="19BA4320"/>
    <w:rsid w:val="1B205130"/>
    <w:rsid w:val="1E712589"/>
    <w:rsid w:val="1F523B54"/>
    <w:rsid w:val="25FD0C5D"/>
    <w:rsid w:val="29C05E6C"/>
    <w:rsid w:val="2F990904"/>
    <w:rsid w:val="39DA454A"/>
    <w:rsid w:val="39F46F0A"/>
    <w:rsid w:val="3ABD5DEE"/>
    <w:rsid w:val="3BD710AD"/>
    <w:rsid w:val="41670196"/>
    <w:rsid w:val="42736B67"/>
    <w:rsid w:val="43D445BB"/>
    <w:rsid w:val="4B60103E"/>
    <w:rsid w:val="4F1428B3"/>
    <w:rsid w:val="537062B7"/>
    <w:rsid w:val="57D535F7"/>
    <w:rsid w:val="58806626"/>
    <w:rsid w:val="60D720E0"/>
    <w:rsid w:val="60F5158E"/>
    <w:rsid w:val="62922058"/>
    <w:rsid w:val="720E4E8D"/>
    <w:rsid w:val="726D3C91"/>
    <w:rsid w:val="745D61E5"/>
    <w:rsid w:val="75A153E9"/>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4506</Words>
  <Characters>4844</Characters>
  <TotalTime>2</TotalTime>
  <ScaleCrop>false</ScaleCrop>
  <LinksUpToDate>false</LinksUpToDate>
  <CharactersWithSpaces>5147</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温</cp:lastModifiedBy>
  <cp:lastPrinted>2022-08-31T08:40:00Z</cp:lastPrinted>
  <dcterms:modified xsi:type="dcterms:W3CDTF">2022-09-18T11:21:19Z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22F457B88A9F47BDBFDBB80CC7818D91</vt:lpwstr>
  </property>
</Properties>
</file>