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52"/>
          <w:szCs w:val="52"/>
          <w:highlight w:val="none"/>
          <w:lang w:val="en-US" w:eastAsia="zh-CN"/>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b w:val="0"/>
          <w:bCs w:val="0"/>
          <w:sz w:val="72"/>
          <w:szCs w:val="72"/>
          <w:highlight w:val="none"/>
          <w:lang w:eastAsia="zh-CN"/>
        </w:rPr>
        <w:t>财政局</w:t>
      </w:r>
      <w:r>
        <w:rPr>
          <w:rFonts w:hint="eastAsia" w:ascii="方正小标宋简体" w:eastAsia="方正小标宋简体"/>
          <w:b w:val="0"/>
          <w:bCs w:val="0"/>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hint="eastAsia"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keepNext w:val="0"/>
        <w:keepLines w:val="0"/>
        <w:widowControl/>
        <w:suppressLineNumbers w:val="0"/>
        <w:jc w:val="left"/>
        <w:rPr>
          <w:highlight w:val="none"/>
        </w:rPr>
      </w:pPr>
      <w:r>
        <w:rPr>
          <w:rFonts w:ascii="仿宋" w:hAnsi="仿宋" w:eastAsia="仿宋" w:cs="仿宋"/>
          <w:color w:val="000000"/>
          <w:kern w:val="0"/>
          <w:sz w:val="34"/>
          <w:szCs w:val="34"/>
          <w:highlight w:val="none"/>
          <w:lang w:val="en-US" w:eastAsia="zh-CN" w:bidi="ar"/>
        </w:rPr>
        <w:t xml:space="preserve">（一）贯彻执行国家财政、税收的方针、政策及其他有关政策，协调财税关系；（二）根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据国民经济和社会发展战略，制定全县财政发展战略和中长期财政计划；（三）负责管理县级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各财政收支；编制年度县级预决算草案并组织执行；（四）制定和实施全县国库管理制度、国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库集中收付制度，按规定开展国库现金管理工作；制定全县政府采购制度，负责县级政府采购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管理工作；贯彻涉外企业财务制度。（五）负责制定需要全县统一规定的开支标准和支出政策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，制定全县行政事业单位国有资产管理规章制度，按规定管理县级行政事业单位国有资产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；（六）负责管理政府非税收入，按规定管理行政事业性收费及政府性基金；（七）负责审核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和汇总编制全县国有资本经营预决算草案，贯彻执行企业财务制度，组织实施国有企业和行政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事业单位的清产核资、国有产权界定、登记、转让、授权经营等工作；（八）负责办理和监督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县级财政的经济发展支出、政府性投资项目的财政拨款，贯彻执行基本建设财务制度，负责资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金预算安排、审核、拨付工作。（九）管理县级财政社会保障和就业及医疗卫生支出，拟订社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会保障资金（基金）的财务管理制度，编制全县社会保障预决算草案。（十）贯彻执行政府国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内外债务管理政策、制度和办法；管理政府贷款业务；承担县域银行的信用评估和资金管理及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转贷工作。（十一）贯彻执行会计法规和制度；管理全县的会计工作，监督和规范会计行为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；指导和监督注册会计师和会计师事务所业务；指导和管理社会审计；负责会计、出纳委派制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工作。（十二）监督检查财税法规、政策执行情况；反映财政收支管理中的重大问题；提出加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强财政管理的政策建议。（十三）制定全县财政科学研究和教育培训规划；组织全县财务人员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培训；负责财政信息和财政宣传工作。（十四）拟定上报全县村级产业发展互助分社指导意见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和政策措施并按规定程序报请批准后监督执行；（十五）负责贯彻执行国家金融方针政策，研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究制定全县金融发展规划，协助有关部门防范和处置地方金融风险。（十六）依法筹集道路交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通事故社会救助基金，受理、审核垫付申请，依法追偿垫付款。（十七）负责县委、县政府授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 xml:space="preserve">权管理和交办的其他工作。 </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keepNext w:val="0"/>
        <w:keepLines w:val="0"/>
        <w:widowControl/>
        <w:suppressLineNumbers w:val="0"/>
        <w:jc w:val="left"/>
        <w:rPr>
          <w:highlight w:val="none"/>
        </w:rPr>
      </w:pPr>
      <w:r>
        <w:rPr>
          <w:rFonts w:ascii="仿宋" w:hAnsi="仿宋" w:eastAsia="仿宋" w:cs="仿宋"/>
          <w:color w:val="000000"/>
          <w:kern w:val="0"/>
          <w:sz w:val="34"/>
          <w:szCs w:val="34"/>
          <w:highlight w:val="none"/>
          <w:lang w:val="en-US" w:eastAsia="zh-CN" w:bidi="ar"/>
        </w:rPr>
        <w:t xml:space="preserve">预算股、综合股、行政政法股、农业股、教科文股、企业股、社会保障股、经济建设股、 </w:t>
      </w:r>
    </w:p>
    <w:p>
      <w:pPr>
        <w:keepNext w:val="0"/>
        <w:keepLines w:val="0"/>
        <w:widowControl/>
        <w:suppressLineNumbers w:val="0"/>
        <w:jc w:val="left"/>
        <w:rPr>
          <w:highlight w:val="none"/>
        </w:rPr>
      </w:pPr>
      <w:r>
        <w:rPr>
          <w:rFonts w:hint="eastAsia" w:ascii="仿宋" w:hAnsi="仿宋" w:eastAsia="仿宋" w:cs="仿宋"/>
          <w:color w:val="000000"/>
          <w:kern w:val="0"/>
          <w:sz w:val="34"/>
          <w:szCs w:val="34"/>
          <w:highlight w:val="none"/>
          <w:lang w:val="en-US" w:eastAsia="zh-CN" w:bidi="ar"/>
        </w:rPr>
        <w:t>国库股、利用外资股、税政股、投资评审中心。</w:t>
      </w:r>
    </w:p>
    <w:p>
      <w:pPr>
        <w:spacing w:line="840" w:lineRule="exact"/>
        <w:ind w:firstLine="883" w:firstLineChars="200"/>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2022年预算收入60275864.00元，比上年预算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28347297</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88.78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w:t>
      </w:r>
      <w:r>
        <w:rPr>
          <w:rFonts w:hint="eastAsia" w:ascii="仿宋_GB2312" w:hAnsi="黑体" w:eastAsia="仿宋_GB2312"/>
          <w:sz w:val="32"/>
          <w:szCs w:val="32"/>
          <w:highlight w:val="none"/>
        </w:rPr>
        <w:t>其中：一般公共预算财政拨款收入60275864.00元，政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60275864.00</w:t>
      </w:r>
      <w:r>
        <w:rPr>
          <w:rFonts w:hint="eastAsia" w:ascii="仿宋_GB2312" w:hAnsi="宋体" w:eastAsia="仿宋_GB2312"/>
          <w:sz w:val="32"/>
          <w:szCs w:val="32"/>
          <w:highlight w:val="none"/>
        </w:rPr>
        <w:t>元，相应比上年预算数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88.78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eastAsia="zh-CN"/>
        </w:rPr>
        <w:t>人员经费增加。</w:t>
      </w:r>
    </w:p>
    <w:p>
      <w:pPr>
        <w:spacing w:line="640" w:lineRule="exact"/>
        <w:ind w:firstLine="643" w:firstLineChars="200"/>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支出按功能分类科目安排为：</w:t>
      </w:r>
    </w:p>
    <w:p>
      <w:pPr>
        <w:spacing w:line="640" w:lineRule="exact"/>
        <w:ind w:left="638" w:leftChars="304" w:firstLine="0" w:firstLineChars="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56992020.44</w:t>
      </w:r>
      <w:r>
        <w:rPr>
          <w:rFonts w:hint="eastAsia" w:ascii="仿宋_GB2312" w:hAnsi="宋体" w:eastAsia="仿宋_GB2312"/>
          <w:sz w:val="32"/>
          <w:szCs w:val="32"/>
          <w:highlight w:val="none"/>
        </w:rPr>
        <w:t>元，其中：财政拨款56992020.44元，比上年预算数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291.91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,增加原因是项目支出增加。</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社会保障和就业支出1526082.76</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21.46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增加的原因是人员工资增加</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卫生健康支出627329.16</w:t>
      </w:r>
      <w:r>
        <w:rPr>
          <w:rFonts w:hint="eastAsia" w:ascii="仿宋_GB2312" w:hAnsi="宋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增加的原因是上年未单独列入预算</w:t>
      </w:r>
      <w:r>
        <w:rPr>
          <w:rFonts w:hint="eastAsia" w:ascii="仿宋_GB2312" w:hAnsi="宋体" w:eastAsia="仿宋_GB2312"/>
          <w:sz w:val="32"/>
          <w:szCs w:val="32"/>
          <w:highlight w:val="none"/>
          <w:lang w:eastAsia="zh-CN"/>
        </w:rPr>
        <w:t>。</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住房保障支出1130431.64</w:t>
      </w:r>
      <w:r>
        <w:rPr>
          <w:rFonts w:hint="eastAsia" w:ascii="仿宋_GB2312" w:hAnsi="宋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增加的原因是上年未单独列入预算</w:t>
      </w:r>
      <w:r>
        <w:rPr>
          <w:rFonts w:hint="eastAsia" w:ascii="仿宋_GB2312" w:hAnsi="宋体" w:eastAsia="仿宋_GB2312"/>
          <w:sz w:val="32"/>
          <w:szCs w:val="32"/>
          <w:highlight w:val="none"/>
          <w:lang w:eastAsia="zh-CN"/>
        </w:rPr>
        <w:t>。</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hint="default" w:ascii="仿宋_GB2312" w:hAnsi="宋体" w:eastAsia="仿宋_GB2312"/>
          <w:sz w:val="32"/>
          <w:szCs w:val="32"/>
          <w:highlight w:val="none"/>
          <w:lang w:val="en-US"/>
        </w:rPr>
      </w:pPr>
      <w:r>
        <w:rPr>
          <w:rFonts w:hint="eastAsia" w:ascii="仿宋_GB2312" w:hAnsi="宋体" w:eastAsia="仿宋_GB2312"/>
          <w:sz w:val="32"/>
          <w:szCs w:val="32"/>
        </w:rPr>
        <w:t>工资福利支出</w:t>
      </w:r>
      <w:r>
        <w:rPr>
          <w:rFonts w:hint="eastAsia" w:ascii="仿宋_GB2312" w:hAnsi="黑体" w:eastAsia="仿宋_GB2312"/>
          <w:sz w:val="32"/>
          <w:szCs w:val="32"/>
          <w:highlight w:val="none"/>
          <w:lang w:val="en-US" w:eastAsia="zh-CN"/>
        </w:rPr>
        <w:t>16590164.00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52.24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p>
    <w:p>
      <w:pPr>
        <w:spacing w:line="640" w:lineRule="exact"/>
        <w:ind w:firstLine="640" w:firstLineChars="200"/>
        <w:rPr>
          <w:rFonts w:hint="default" w:ascii="仿宋_GB2312" w:hAnsi="宋体" w:eastAsia="仿宋_GB2312"/>
          <w:sz w:val="32"/>
          <w:szCs w:val="32"/>
          <w:highlight w:val="none"/>
          <w:lang w:val="en-US"/>
        </w:rPr>
      </w:pPr>
      <w:r>
        <w:rPr>
          <w:rFonts w:hint="eastAsia" w:ascii="仿宋_GB2312" w:hAnsi="宋体" w:eastAsia="仿宋_GB2312"/>
          <w:sz w:val="32"/>
          <w:szCs w:val="32"/>
          <w:highlight w:val="none"/>
        </w:rPr>
        <w:t>商品和服务</w:t>
      </w:r>
      <w:r>
        <w:rPr>
          <w:rFonts w:hint="eastAsia" w:ascii="仿宋_GB2312" w:hAnsi="宋体" w:eastAsia="仿宋_GB2312"/>
          <w:sz w:val="32"/>
          <w:szCs w:val="32"/>
          <w:highlight w:val="none"/>
          <w:lang w:val="en-US" w:eastAsia="zh-CN"/>
        </w:rPr>
        <w:t>支出</w:t>
      </w:r>
      <w:r>
        <w:rPr>
          <w:rFonts w:hint="eastAsia" w:ascii="仿宋_GB2312" w:hAnsi="黑体" w:eastAsia="仿宋_GB2312"/>
          <w:sz w:val="32"/>
          <w:szCs w:val="32"/>
          <w:highlight w:val="none"/>
          <w:lang w:val="en-US" w:eastAsia="zh-CN"/>
        </w:rPr>
        <w:t>6697500.00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增加55.44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增加的主要原因是：项目支出增加。</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对个人和家庭的补助</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无变化。</w:t>
      </w:r>
    </w:p>
    <w:p>
      <w:pPr>
        <w:numPr>
          <w:ilvl w:val="0"/>
          <w:numId w:val="1"/>
        </w:numPr>
        <w:spacing w:line="640" w:lineRule="exact"/>
        <w:ind w:left="1360" w:leftChars="0" w:hanging="720" w:firstLineChars="0"/>
        <w:rPr>
          <w:rFonts w:hint="eastAsia" w:ascii="黑体" w:hAnsi="黑体" w:eastAsia="黑体"/>
          <w:sz w:val="32"/>
          <w:szCs w:val="32"/>
          <w:highlight w:val="none"/>
        </w:rPr>
      </w:pPr>
      <w:r>
        <w:rPr>
          <w:rFonts w:hint="eastAsia" w:ascii="黑体" w:hAnsi="黑体" w:eastAsia="黑体"/>
          <w:sz w:val="32"/>
          <w:szCs w:val="32"/>
          <w:highlight w:val="none"/>
        </w:rPr>
        <w:t>部门一般公共预算支出情况说明</w:t>
      </w:r>
    </w:p>
    <w:p>
      <w:pPr>
        <w:numPr>
          <w:ilvl w:val="0"/>
          <w:numId w:val="0"/>
        </w:numPr>
        <w:spacing w:line="640" w:lineRule="exact"/>
        <w:ind w:left="640" w:leftChars="0" w:firstLine="643" w:firstLineChars="200"/>
        <w:rPr>
          <w:rFonts w:hint="eastAsia" w:ascii="仿宋" w:hAnsi="仿宋" w:eastAsia="仿宋" w:cs="仿宋"/>
          <w:b w:val="0"/>
          <w:bCs/>
          <w:sz w:val="32"/>
          <w:szCs w:val="32"/>
        </w:rPr>
      </w:pPr>
      <w:r>
        <w:rPr>
          <w:rFonts w:hint="eastAsia" w:ascii="楷体_GB2312" w:hAnsi="黑体" w:eastAsia="楷体_GB2312"/>
          <w:b/>
          <w:sz w:val="32"/>
          <w:szCs w:val="32"/>
          <w:highlight w:val="none"/>
        </w:rPr>
        <w:t>（一）一般公共服务支出（类）</w:t>
      </w:r>
      <w:r>
        <w:rPr>
          <w:rFonts w:hint="eastAsia" w:ascii="楷体_GB2312" w:hAnsi="黑体" w:eastAsia="楷体_GB2312"/>
          <w:b w:val="0"/>
          <w:bCs/>
          <w:sz w:val="32"/>
          <w:szCs w:val="32"/>
          <w:highlight w:val="none"/>
          <w:lang w:eastAsia="zh-CN"/>
        </w:rPr>
        <w:t>财政事务（</w:t>
      </w:r>
      <w:r>
        <w:rPr>
          <w:rFonts w:hint="eastAsia" w:ascii="楷体_GB2312" w:hAnsi="黑体" w:eastAsia="楷体_GB2312"/>
          <w:b w:val="0"/>
          <w:bCs/>
          <w:sz w:val="32"/>
          <w:szCs w:val="32"/>
          <w:highlight w:val="none"/>
          <w:lang w:val="en-US" w:eastAsia="zh-CN"/>
        </w:rPr>
        <w:t>款</w:t>
      </w:r>
      <w:r>
        <w:rPr>
          <w:rFonts w:hint="eastAsia" w:ascii="楷体_GB2312" w:hAnsi="黑体" w:eastAsia="楷体_GB2312"/>
          <w:b w:val="0"/>
          <w:bCs/>
          <w:sz w:val="32"/>
          <w:szCs w:val="32"/>
          <w:highlight w:val="none"/>
          <w:lang w:eastAsia="zh-CN"/>
        </w:rPr>
        <w:t>）</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20102383.00</w:t>
      </w:r>
      <w:r>
        <w:rPr>
          <w:rFonts w:hint="eastAsia" w:ascii="仿宋" w:hAnsi="仿宋" w:eastAsia="仿宋" w:cs="仿宋"/>
          <w:b w:val="0"/>
          <w:bCs/>
          <w:sz w:val="32"/>
          <w:szCs w:val="32"/>
        </w:rPr>
        <w:t>元，比上年预算数增长</w:t>
      </w:r>
      <w:r>
        <w:rPr>
          <w:rFonts w:hint="eastAsia" w:ascii="仿宋" w:hAnsi="仿宋" w:eastAsia="仿宋" w:cs="仿宋"/>
          <w:b w:val="0"/>
          <w:bCs/>
          <w:sz w:val="32"/>
          <w:szCs w:val="32"/>
          <w:lang w:val="en-US" w:eastAsia="zh-CN"/>
        </w:rPr>
        <w:t>68.96</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主要原因是人员工资增加</w:t>
      </w:r>
      <w:r>
        <w:rPr>
          <w:rFonts w:hint="eastAsia" w:ascii="仿宋" w:hAnsi="仿宋" w:eastAsia="仿宋" w:cs="仿宋"/>
          <w:b w:val="0"/>
          <w:bCs/>
          <w:sz w:val="32"/>
          <w:szCs w:val="32"/>
        </w:rPr>
        <w:t>。其中：行政运行（项）202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19182383.00</w:t>
      </w:r>
      <w:r>
        <w:rPr>
          <w:rFonts w:hint="eastAsia" w:ascii="仿宋" w:hAnsi="仿宋" w:eastAsia="仿宋" w:cs="仿宋"/>
          <w:b w:val="0"/>
          <w:bCs/>
          <w:sz w:val="32"/>
          <w:szCs w:val="32"/>
        </w:rPr>
        <w:t>元，比上年预算数增长</w:t>
      </w:r>
      <w:r>
        <w:rPr>
          <w:rFonts w:hint="eastAsia" w:ascii="仿宋" w:hAnsi="仿宋" w:eastAsia="仿宋" w:cs="仿宋"/>
          <w:b w:val="0"/>
          <w:bCs/>
          <w:sz w:val="32"/>
          <w:szCs w:val="32"/>
          <w:lang w:val="en-US" w:eastAsia="zh-CN"/>
        </w:rPr>
        <w:t>68.59</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主要原因是人员工资增加；</w:t>
      </w:r>
      <w:r>
        <w:rPr>
          <w:rFonts w:hint="default" w:ascii="仿宋_GB2312" w:hAnsi="宋体" w:eastAsia="仿宋_GB2312"/>
          <w:sz w:val="32"/>
          <w:szCs w:val="32"/>
          <w:highlight w:val="none"/>
          <w:lang w:val="en-US" w:eastAsia="zh-CN"/>
        </w:rPr>
        <w:t>财政国库业务（室）及相关机构事务支出</w:t>
      </w:r>
      <w:r>
        <w:rPr>
          <w:rFonts w:hint="eastAsia" w:ascii="仿宋_GB2312" w:hAnsi="宋体" w:eastAsia="仿宋_GB2312"/>
          <w:sz w:val="32"/>
          <w:szCs w:val="32"/>
          <w:highlight w:val="none"/>
          <w:lang w:val="en-US" w:eastAsia="zh-CN"/>
        </w:rPr>
        <w:t>（项）</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920000</w:t>
      </w:r>
      <w:r>
        <w:rPr>
          <w:rFonts w:hint="eastAsia" w:ascii="仿宋" w:hAnsi="仿宋" w:eastAsia="仿宋" w:cs="仿宋"/>
          <w:b w:val="0"/>
          <w:bCs/>
          <w:sz w:val="32"/>
          <w:szCs w:val="32"/>
        </w:rPr>
        <w:t>元，比上年预算数增长</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主要原因是项目支出增加</w:t>
      </w:r>
      <w:r>
        <w:rPr>
          <w:rFonts w:hint="eastAsia" w:ascii="仿宋" w:hAnsi="仿宋" w:eastAsia="仿宋" w:cs="仿宋"/>
          <w:b w:val="0"/>
          <w:bCs/>
          <w:sz w:val="32"/>
          <w:szCs w:val="32"/>
        </w:rPr>
        <w:t>。</w:t>
      </w:r>
    </w:p>
    <w:p>
      <w:pPr>
        <w:numPr>
          <w:ilvl w:val="0"/>
          <w:numId w:val="0"/>
        </w:numPr>
        <w:spacing w:line="640" w:lineRule="exact"/>
        <w:ind w:left="640" w:leftChars="0" w:firstLine="643" w:firstLineChars="200"/>
        <w:rPr>
          <w:rFonts w:hint="eastAsia" w:ascii="仿宋" w:hAnsi="仿宋" w:eastAsia="仿宋" w:cs="仿宋"/>
          <w:b w:val="0"/>
          <w:bCs/>
          <w:sz w:val="32"/>
          <w:szCs w:val="32"/>
          <w:lang w:val="en-US" w:eastAsia="zh-CN"/>
        </w:rPr>
      </w:pPr>
      <w:r>
        <w:rPr>
          <w:rFonts w:hint="eastAsia" w:ascii="楷体_GB2312" w:hAnsi="黑体" w:eastAsia="楷体_GB2312"/>
          <w:b/>
          <w:sz w:val="32"/>
          <w:szCs w:val="32"/>
          <w:highlight w:val="none"/>
        </w:rPr>
        <w:t>一般公共服务支出（类）</w:t>
      </w:r>
      <w:r>
        <w:rPr>
          <w:rFonts w:hint="eastAsia" w:ascii="楷体_GB2312" w:hAnsi="黑体" w:eastAsia="楷体_GB2312"/>
          <w:b w:val="0"/>
          <w:bCs/>
          <w:sz w:val="32"/>
          <w:szCs w:val="32"/>
          <w:highlight w:val="none"/>
          <w:lang w:eastAsia="zh-CN"/>
        </w:rPr>
        <w:t>群众团体事务（</w:t>
      </w:r>
      <w:r>
        <w:rPr>
          <w:rFonts w:hint="eastAsia" w:ascii="楷体_GB2312" w:hAnsi="黑体" w:eastAsia="楷体_GB2312"/>
          <w:b w:val="0"/>
          <w:bCs/>
          <w:sz w:val="32"/>
          <w:szCs w:val="32"/>
          <w:highlight w:val="none"/>
          <w:lang w:val="en-US" w:eastAsia="zh-CN"/>
        </w:rPr>
        <w:t>款</w:t>
      </w:r>
      <w:r>
        <w:rPr>
          <w:rFonts w:hint="eastAsia" w:ascii="楷体_GB2312" w:hAnsi="黑体" w:eastAsia="楷体_GB2312"/>
          <w:b w:val="0"/>
          <w:bCs/>
          <w:sz w:val="32"/>
          <w:szCs w:val="32"/>
          <w:highlight w:val="none"/>
          <w:lang w:eastAsia="zh-CN"/>
        </w:rPr>
        <w:t>）</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161437.44</w:t>
      </w:r>
      <w:r>
        <w:rPr>
          <w:rFonts w:hint="eastAsia" w:ascii="仿宋" w:hAnsi="仿宋" w:eastAsia="仿宋" w:cs="仿宋"/>
          <w:b w:val="0"/>
          <w:bCs/>
          <w:sz w:val="32"/>
          <w:szCs w:val="32"/>
        </w:rPr>
        <w:t>元，比上年预算数增长</w:t>
      </w:r>
      <w:r>
        <w:rPr>
          <w:rFonts w:hint="eastAsia" w:ascii="仿宋" w:hAnsi="仿宋" w:eastAsia="仿宋" w:cs="仿宋"/>
          <w:b w:val="0"/>
          <w:bCs/>
          <w:sz w:val="32"/>
          <w:szCs w:val="32"/>
          <w:lang w:val="en-US" w:eastAsia="zh-CN"/>
        </w:rPr>
        <w:t>55.20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主要原因是工会经费增加</w:t>
      </w:r>
      <w:r>
        <w:rPr>
          <w:rFonts w:hint="eastAsia" w:ascii="仿宋" w:hAnsi="仿宋" w:eastAsia="仿宋" w:cs="仿宋"/>
          <w:b w:val="0"/>
          <w:bCs/>
          <w:sz w:val="32"/>
          <w:szCs w:val="32"/>
        </w:rPr>
        <w:t>。其中：工会事务（项）202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161437.44</w:t>
      </w:r>
      <w:r>
        <w:rPr>
          <w:rFonts w:hint="eastAsia" w:ascii="仿宋" w:hAnsi="仿宋" w:eastAsia="仿宋" w:cs="仿宋"/>
          <w:b w:val="0"/>
          <w:bCs/>
          <w:sz w:val="32"/>
          <w:szCs w:val="32"/>
        </w:rPr>
        <w:t>元，比上年预算数增长</w:t>
      </w:r>
      <w:r>
        <w:rPr>
          <w:rFonts w:hint="eastAsia" w:ascii="仿宋" w:hAnsi="仿宋" w:eastAsia="仿宋" w:cs="仿宋"/>
          <w:b w:val="0"/>
          <w:bCs/>
          <w:sz w:val="32"/>
          <w:szCs w:val="32"/>
          <w:lang w:val="en-US" w:eastAsia="zh-CN"/>
        </w:rPr>
        <w:t>55.20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主要原因是工会经费增加。</w:t>
      </w:r>
    </w:p>
    <w:p>
      <w:pPr>
        <w:numPr>
          <w:ilvl w:val="0"/>
          <w:numId w:val="0"/>
        </w:numPr>
        <w:spacing w:line="640" w:lineRule="exact"/>
        <w:ind w:left="0" w:leftChars="0" w:firstLine="1285" w:firstLineChars="400"/>
        <w:rPr>
          <w:rFonts w:hint="eastAsia" w:ascii="仿宋" w:hAnsi="仿宋" w:eastAsia="仿宋" w:cs="仿宋"/>
          <w:b w:val="0"/>
          <w:bCs/>
          <w:sz w:val="32"/>
          <w:szCs w:val="32"/>
          <w:lang w:val="en-US" w:eastAsia="zh-CN"/>
        </w:rPr>
      </w:pPr>
      <w:r>
        <w:rPr>
          <w:rFonts w:hint="eastAsia" w:ascii="楷体_GB2312" w:hAnsi="黑体" w:eastAsia="楷体_GB2312"/>
          <w:b/>
          <w:sz w:val="32"/>
          <w:szCs w:val="32"/>
          <w:highlight w:val="none"/>
        </w:rPr>
        <w:t>一般公共服务支出（类）</w:t>
      </w:r>
      <w:r>
        <w:rPr>
          <w:rFonts w:hint="eastAsia" w:ascii="楷体_GB2312" w:hAnsi="黑体" w:eastAsia="楷体_GB2312"/>
          <w:b w:val="0"/>
          <w:bCs/>
          <w:sz w:val="32"/>
          <w:szCs w:val="32"/>
          <w:highlight w:val="none"/>
          <w:lang w:eastAsia="zh-CN"/>
        </w:rPr>
        <w:t>其他一般公共服务支出（</w:t>
      </w:r>
      <w:r>
        <w:rPr>
          <w:rFonts w:hint="eastAsia" w:ascii="楷体_GB2312" w:hAnsi="黑体" w:eastAsia="楷体_GB2312"/>
          <w:b w:val="0"/>
          <w:bCs/>
          <w:sz w:val="32"/>
          <w:szCs w:val="32"/>
          <w:highlight w:val="none"/>
          <w:lang w:val="en-US" w:eastAsia="zh-CN"/>
        </w:rPr>
        <w:t>款</w:t>
      </w:r>
      <w:r>
        <w:rPr>
          <w:rFonts w:hint="eastAsia" w:ascii="楷体_GB2312" w:hAnsi="黑体" w:eastAsia="楷体_GB2312"/>
          <w:b w:val="0"/>
          <w:bCs/>
          <w:sz w:val="32"/>
          <w:szCs w:val="32"/>
          <w:highlight w:val="none"/>
          <w:lang w:eastAsia="zh-CN"/>
        </w:rPr>
        <w:t>）</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36728200.00</w:t>
      </w:r>
      <w:r>
        <w:rPr>
          <w:rFonts w:hint="eastAsia" w:ascii="仿宋" w:hAnsi="仿宋" w:eastAsia="仿宋" w:cs="仿宋"/>
          <w:b w:val="0"/>
          <w:bCs/>
          <w:sz w:val="32"/>
          <w:szCs w:val="32"/>
        </w:rPr>
        <w:t>元，比上年预算数增长</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主要原因是项目支出增加</w:t>
      </w:r>
      <w:r>
        <w:rPr>
          <w:rFonts w:hint="eastAsia" w:ascii="仿宋" w:hAnsi="仿宋" w:eastAsia="仿宋" w:cs="仿宋"/>
          <w:b w:val="0"/>
          <w:bCs/>
          <w:sz w:val="32"/>
          <w:szCs w:val="32"/>
        </w:rPr>
        <w:t>。其中：其他一般公共服务支出（项）202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36728200.00</w:t>
      </w:r>
      <w:r>
        <w:rPr>
          <w:rFonts w:hint="eastAsia" w:ascii="仿宋" w:hAnsi="仿宋" w:eastAsia="仿宋" w:cs="仿宋"/>
          <w:b w:val="0"/>
          <w:bCs/>
          <w:sz w:val="32"/>
          <w:szCs w:val="32"/>
        </w:rPr>
        <w:t>元，比上年预算数增长</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主要原因是项目支出增加。</w:t>
      </w:r>
    </w:p>
    <w:p>
      <w:pPr>
        <w:numPr>
          <w:ilvl w:val="0"/>
          <w:numId w:val="2"/>
        </w:numPr>
        <w:spacing w:line="640" w:lineRule="exact"/>
        <w:ind w:firstLine="643" w:firstLineChars="200"/>
        <w:rPr>
          <w:rFonts w:hint="eastAsia" w:ascii="仿宋" w:hAnsi="仿宋" w:eastAsia="仿宋" w:cs="仿宋"/>
          <w:b w:val="0"/>
          <w:bCs/>
          <w:sz w:val="32"/>
          <w:szCs w:val="32"/>
          <w:lang w:val="en-US" w:eastAsia="zh-CN"/>
        </w:rPr>
      </w:pP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行政事业单位养老支出</w:t>
      </w:r>
      <w:r>
        <w:rPr>
          <w:rFonts w:hint="eastAsia" w:ascii="楷体_GB2312" w:hAnsi="黑体" w:eastAsia="楷体_GB2312"/>
          <w:b w:val="0"/>
          <w:bCs/>
          <w:sz w:val="32"/>
          <w:szCs w:val="32"/>
          <w:highlight w:val="none"/>
          <w:lang w:eastAsia="zh-CN"/>
        </w:rPr>
        <w:t>（</w:t>
      </w:r>
      <w:r>
        <w:rPr>
          <w:rFonts w:hint="eastAsia" w:ascii="楷体_GB2312" w:hAnsi="黑体" w:eastAsia="楷体_GB2312"/>
          <w:b w:val="0"/>
          <w:bCs/>
          <w:sz w:val="32"/>
          <w:szCs w:val="32"/>
          <w:highlight w:val="none"/>
          <w:lang w:val="en-US" w:eastAsia="zh-CN"/>
        </w:rPr>
        <w:t>款</w:t>
      </w:r>
      <w:r>
        <w:rPr>
          <w:rFonts w:hint="eastAsia" w:ascii="楷体_GB2312" w:hAnsi="黑体" w:eastAsia="楷体_GB2312"/>
          <w:b w:val="0"/>
          <w:bCs/>
          <w:sz w:val="32"/>
          <w:szCs w:val="32"/>
          <w:highlight w:val="none"/>
          <w:lang w:eastAsia="zh-CN"/>
        </w:rPr>
        <w:t>）</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1507242.24</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增加19.96</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主要原因是人员工资增加</w:t>
      </w:r>
      <w:r>
        <w:rPr>
          <w:rFonts w:hint="eastAsia" w:ascii="仿宋" w:hAnsi="仿宋" w:eastAsia="仿宋" w:cs="仿宋"/>
          <w:b w:val="0"/>
          <w:bCs/>
          <w:sz w:val="32"/>
          <w:szCs w:val="32"/>
        </w:rPr>
        <w:t>。其中：机关事业单位基本养老保险缴费支出（项）202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1507242.24</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增加19.96</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主要原因是人员工资增加。</w:t>
      </w:r>
    </w:p>
    <w:p>
      <w:pPr>
        <w:numPr>
          <w:ilvl w:val="0"/>
          <w:numId w:val="0"/>
        </w:numPr>
        <w:spacing w:line="640" w:lineRule="exac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财政对其他社会保险基金的补助</w:t>
      </w:r>
      <w:r>
        <w:rPr>
          <w:rFonts w:hint="eastAsia" w:ascii="楷体_GB2312" w:hAnsi="黑体" w:eastAsia="楷体_GB2312"/>
          <w:b w:val="0"/>
          <w:bCs/>
          <w:sz w:val="32"/>
          <w:szCs w:val="32"/>
          <w:highlight w:val="none"/>
          <w:lang w:eastAsia="zh-CN"/>
        </w:rPr>
        <w:t>（</w:t>
      </w:r>
      <w:r>
        <w:rPr>
          <w:rFonts w:hint="eastAsia" w:ascii="楷体_GB2312" w:hAnsi="黑体" w:eastAsia="楷体_GB2312"/>
          <w:b w:val="0"/>
          <w:bCs/>
          <w:sz w:val="32"/>
          <w:szCs w:val="32"/>
          <w:highlight w:val="none"/>
          <w:lang w:val="en-US" w:eastAsia="zh-CN"/>
        </w:rPr>
        <w:t>款</w:t>
      </w:r>
      <w:r>
        <w:rPr>
          <w:rFonts w:hint="eastAsia" w:ascii="楷体_GB2312" w:hAnsi="黑体" w:eastAsia="楷体_GB2312"/>
          <w:b w:val="0"/>
          <w:bCs/>
          <w:sz w:val="32"/>
          <w:szCs w:val="32"/>
          <w:highlight w:val="none"/>
          <w:lang w:eastAsia="zh-CN"/>
        </w:rPr>
        <w:t>）</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18840.52</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主要原因是新增工伤保险</w:t>
      </w:r>
      <w:r>
        <w:rPr>
          <w:rFonts w:hint="eastAsia" w:ascii="仿宋" w:hAnsi="仿宋" w:eastAsia="仿宋" w:cs="仿宋"/>
          <w:b w:val="0"/>
          <w:bCs/>
          <w:sz w:val="32"/>
          <w:szCs w:val="32"/>
        </w:rPr>
        <w:t>。其中：财政对工伤保险基金的补助（项）202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18840.52</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主要原因是新增工伤保险。</w:t>
      </w:r>
    </w:p>
    <w:p>
      <w:pPr>
        <w:spacing w:line="640" w:lineRule="exact"/>
        <w:ind w:firstLine="643" w:firstLineChars="200"/>
        <w:rPr>
          <w:rFonts w:hint="default" w:ascii="仿宋_GB2312" w:hAnsi="黑体" w:eastAsia="仿宋_GB2312"/>
          <w:b/>
          <w:bCs/>
          <w:sz w:val="32"/>
          <w:szCs w:val="32"/>
          <w:highlight w:val="none"/>
          <w:lang w:val="en-US" w:eastAsia="zh-CN"/>
        </w:rPr>
      </w:pPr>
      <w:r>
        <w:rPr>
          <w:rFonts w:hint="eastAsia" w:ascii="仿宋_GB2312" w:hAnsi="黑体" w:eastAsia="仿宋_GB2312"/>
          <w:b/>
          <w:sz w:val="32"/>
          <w:szCs w:val="32"/>
          <w:highlight w:val="none"/>
          <w:lang w:val="en-US" w:eastAsia="zh-CN"/>
        </w:rPr>
        <w:t>（三）卫生健康支出</w:t>
      </w:r>
      <w:r>
        <w:rPr>
          <w:rFonts w:hint="eastAsia" w:ascii="仿宋_GB2312" w:hAnsi="黑体" w:eastAsia="仿宋_GB2312"/>
          <w:b/>
          <w:sz w:val="32"/>
          <w:szCs w:val="32"/>
          <w:highlight w:val="none"/>
        </w:rPr>
        <w:t>（类）</w:t>
      </w:r>
      <w:r>
        <w:rPr>
          <w:rFonts w:hint="eastAsia" w:ascii="仿宋_GB2312" w:hAnsi="黑体" w:eastAsia="仿宋_GB2312"/>
          <w:b w:val="0"/>
          <w:bCs/>
          <w:sz w:val="32"/>
          <w:szCs w:val="32"/>
          <w:highlight w:val="none"/>
          <w:lang w:eastAsia="zh-CN"/>
        </w:rPr>
        <w:t>财政对基本医疗保险基金的补助</w:t>
      </w:r>
      <w:r>
        <w:rPr>
          <w:rFonts w:hint="eastAsia" w:ascii="楷体_GB2312" w:hAnsi="黑体" w:eastAsia="楷体_GB2312"/>
          <w:b w:val="0"/>
          <w:bCs/>
          <w:sz w:val="32"/>
          <w:szCs w:val="32"/>
          <w:highlight w:val="none"/>
          <w:lang w:eastAsia="zh-CN"/>
        </w:rPr>
        <w:t>（</w:t>
      </w:r>
      <w:r>
        <w:rPr>
          <w:rFonts w:hint="eastAsia" w:ascii="楷体_GB2312" w:hAnsi="黑体" w:eastAsia="楷体_GB2312"/>
          <w:b w:val="0"/>
          <w:bCs/>
          <w:sz w:val="32"/>
          <w:szCs w:val="32"/>
          <w:highlight w:val="none"/>
          <w:lang w:val="en-US" w:eastAsia="zh-CN"/>
        </w:rPr>
        <w:t>款</w:t>
      </w:r>
      <w:r>
        <w:rPr>
          <w:rFonts w:hint="eastAsia" w:ascii="楷体_GB2312" w:hAnsi="黑体" w:eastAsia="楷体_GB2312"/>
          <w:b w:val="0"/>
          <w:bCs/>
          <w:sz w:val="32"/>
          <w:szCs w:val="32"/>
          <w:highlight w:val="none"/>
          <w:lang w:eastAsia="zh-CN"/>
        </w:rPr>
        <w:t>）</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627329.16</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w:t>
      </w:r>
      <w:r>
        <w:rPr>
          <w:rFonts w:hint="eastAsia" w:ascii="仿宋_GB2312" w:hAnsi="宋体" w:eastAsia="仿宋_GB2312"/>
          <w:sz w:val="32"/>
          <w:szCs w:val="32"/>
          <w:highlight w:val="none"/>
          <w:lang w:val="en-US" w:eastAsia="zh-CN"/>
        </w:rPr>
        <w:t>增加的原因是上年未单独列入预算</w:t>
      </w:r>
      <w:r>
        <w:rPr>
          <w:rFonts w:hint="eastAsia" w:ascii="仿宋" w:hAnsi="仿宋" w:eastAsia="仿宋" w:cs="仿宋"/>
          <w:b w:val="0"/>
          <w:bCs/>
          <w:sz w:val="32"/>
          <w:szCs w:val="32"/>
        </w:rPr>
        <w:t>。其中：财政对职工基本医疗保险基金的补助（项）202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627329.16</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w:t>
      </w:r>
      <w:r>
        <w:rPr>
          <w:rFonts w:hint="eastAsia" w:ascii="仿宋_GB2312" w:hAnsi="宋体" w:eastAsia="仿宋_GB2312"/>
          <w:sz w:val="32"/>
          <w:szCs w:val="32"/>
          <w:highlight w:val="none"/>
          <w:lang w:val="en-US" w:eastAsia="zh-CN"/>
        </w:rPr>
        <w:t>增加的原因是上年未单独列入预算</w:t>
      </w:r>
      <w:r>
        <w:rPr>
          <w:rFonts w:hint="eastAsia" w:ascii="仿宋_GB2312" w:hAnsi="宋体" w:eastAsia="仿宋_GB2312"/>
          <w:sz w:val="32"/>
          <w:szCs w:val="32"/>
          <w:highlight w:val="none"/>
          <w:lang w:eastAsia="zh-CN"/>
        </w:rPr>
        <w:t>。</w:t>
      </w:r>
    </w:p>
    <w:p>
      <w:pPr>
        <w:spacing w:line="640" w:lineRule="exact"/>
        <w:ind w:firstLine="643" w:firstLineChars="200"/>
        <w:rPr>
          <w:rFonts w:hint="default" w:ascii="仿宋_GB2312" w:hAnsi="黑体" w:eastAsia="仿宋_GB2312"/>
          <w:b/>
          <w:bCs/>
          <w:sz w:val="32"/>
          <w:szCs w:val="32"/>
          <w:highlight w:val="none"/>
          <w:lang w:val="en-US" w:eastAsia="zh-CN"/>
        </w:rPr>
      </w:pPr>
      <w:r>
        <w:rPr>
          <w:rFonts w:hint="eastAsia" w:ascii="仿宋_GB2312" w:hAnsi="黑体" w:eastAsia="仿宋_GB2312"/>
          <w:b/>
          <w:sz w:val="32"/>
          <w:szCs w:val="32"/>
          <w:highlight w:val="none"/>
          <w:lang w:val="en-US" w:eastAsia="zh-CN"/>
        </w:rPr>
        <w:t>（四）住房保障支出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）住房改革支出</w:t>
      </w:r>
      <w:r>
        <w:rPr>
          <w:rFonts w:hint="eastAsia" w:ascii="楷体_GB2312" w:hAnsi="黑体" w:eastAsia="楷体_GB2312"/>
          <w:b w:val="0"/>
          <w:bCs/>
          <w:sz w:val="32"/>
          <w:szCs w:val="32"/>
          <w:highlight w:val="none"/>
          <w:lang w:eastAsia="zh-CN"/>
        </w:rPr>
        <w:t>（</w:t>
      </w:r>
      <w:r>
        <w:rPr>
          <w:rFonts w:hint="eastAsia" w:ascii="楷体_GB2312" w:hAnsi="黑体" w:eastAsia="楷体_GB2312"/>
          <w:b w:val="0"/>
          <w:bCs/>
          <w:sz w:val="32"/>
          <w:szCs w:val="32"/>
          <w:highlight w:val="none"/>
          <w:lang w:val="en-US" w:eastAsia="zh-CN"/>
        </w:rPr>
        <w:t>款</w:t>
      </w:r>
      <w:r>
        <w:rPr>
          <w:rFonts w:hint="eastAsia" w:ascii="楷体_GB2312" w:hAnsi="黑体" w:eastAsia="楷体_GB2312"/>
          <w:b w:val="0"/>
          <w:bCs/>
          <w:sz w:val="32"/>
          <w:szCs w:val="32"/>
          <w:highlight w:val="none"/>
          <w:lang w:eastAsia="zh-CN"/>
        </w:rPr>
        <w:t>）</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1130431.64</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w:t>
      </w:r>
      <w:r>
        <w:rPr>
          <w:rFonts w:hint="eastAsia" w:ascii="仿宋_GB2312" w:hAnsi="宋体" w:eastAsia="仿宋_GB2312"/>
          <w:sz w:val="32"/>
          <w:szCs w:val="32"/>
          <w:highlight w:val="none"/>
          <w:lang w:val="en-US" w:eastAsia="zh-CN"/>
        </w:rPr>
        <w:t>增加的原因是上年未单独列入预算</w:t>
      </w:r>
      <w:r>
        <w:rPr>
          <w:rFonts w:hint="eastAsia" w:ascii="仿宋" w:hAnsi="仿宋" w:eastAsia="仿宋" w:cs="仿宋"/>
          <w:b w:val="0"/>
          <w:bCs/>
          <w:sz w:val="32"/>
          <w:szCs w:val="32"/>
        </w:rPr>
        <w:t>。其中：住房公积金（项）202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1130431.64</w:t>
      </w:r>
      <w:r>
        <w:rPr>
          <w:rFonts w:hint="eastAsia" w:ascii="仿宋" w:hAnsi="仿宋" w:eastAsia="仿宋" w:cs="仿宋"/>
          <w:b w:val="0"/>
          <w:bCs/>
          <w:sz w:val="32"/>
          <w:szCs w:val="32"/>
        </w:rPr>
        <w:t>元，比上年预算数</w:t>
      </w:r>
      <w:r>
        <w:rPr>
          <w:rFonts w:hint="eastAsia" w:ascii="仿宋" w:hAnsi="仿宋" w:eastAsia="仿宋" w:cs="仿宋"/>
          <w:b w:val="0"/>
          <w:bCs/>
          <w:sz w:val="32"/>
          <w:szCs w:val="32"/>
          <w:lang w:val="en-US" w:eastAsia="zh-CN"/>
        </w:rPr>
        <w:t>增加100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主要原因是</w:t>
      </w:r>
      <w:r>
        <w:rPr>
          <w:rFonts w:hint="eastAsia" w:ascii="仿宋_GB2312" w:hAnsi="宋体" w:eastAsia="仿宋_GB2312"/>
          <w:sz w:val="32"/>
          <w:szCs w:val="32"/>
          <w:highlight w:val="none"/>
          <w:lang w:val="en-US" w:eastAsia="zh-CN"/>
        </w:rPr>
        <w:t>增加的原因是上年未单独列入预算</w:t>
      </w:r>
      <w:r>
        <w:rPr>
          <w:rFonts w:hint="eastAsia" w:ascii="仿宋_GB2312" w:hAnsi="宋体" w:eastAsia="仿宋_GB2312"/>
          <w:sz w:val="32"/>
          <w:szCs w:val="32"/>
          <w:highlight w:val="none"/>
          <w:lang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eastAsia" w:eastAsia="仿宋_GB2312"/>
          <w:highlight w:val="none"/>
          <w:lang w:eastAsia="zh-CN"/>
        </w:rPr>
      </w:pPr>
      <w:r>
        <w:rPr>
          <w:rFonts w:hint="eastAsia" w:ascii="仿宋_GB2312" w:hAnsi="黑体" w:eastAsia="仿宋_GB2312"/>
          <w:sz w:val="32"/>
          <w:szCs w:val="32"/>
          <w:highlight w:val="none"/>
        </w:rPr>
        <w:t>2022年一般公共预算基本支出</w:t>
      </w:r>
      <w:r>
        <w:rPr>
          <w:rFonts w:hint="eastAsia" w:ascii="仿宋_GB2312" w:hAnsi="宋体" w:eastAsia="仿宋_GB2312"/>
          <w:sz w:val="32"/>
          <w:szCs w:val="32"/>
          <w:highlight w:val="none"/>
        </w:rPr>
        <w:t>17167664.00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，较上年增加</w:t>
      </w:r>
      <w:r>
        <w:rPr>
          <w:rFonts w:hint="eastAsia" w:ascii="仿宋_GB2312" w:hAnsi="黑体" w:eastAsia="仿宋_GB2312"/>
          <w:sz w:val="32"/>
          <w:szCs w:val="32"/>
          <w:highlight w:val="none"/>
          <w:lang w:val="en-US" w:eastAsia="zh-CN"/>
        </w:rPr>
        <w:t>4029097元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30.67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黑体" w:eastAsia="仿宋_GB2312"/>
          <w:sz w:val="32"/>
          <w:szCs w:val="32"/>
          <w:highlight w:val="none"/>
        </w:rPr>
        <w:t>。其中：人员经费16590164元，单位运转经费577500.00元</w:t>
      </w:r>
      <w:r>
        <w:rPr>
          <w:rFonts w:hint="eastAsia" w:ascii="仿宋_GB2312" w:hAnsi="黑体" w:eastAsia="仿宋_GB2312"/>
          <w:sz w:val="32"/>
          <w:szCs w:val="32"/>
          <w:highlight w:val="none"/>
          <w:lang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w:t>
      </w:r>
      <w:bookmarkStart w:id="0" w:name="_GoBack"/>
      <w:bookmarkEnd w:id="0"/>
      <w:r>
        <w:rPr>
          <w:rFonts w:hint="eastAsia" w:ascii="仿宋_GB2312" w:hAnsi="黑体" w:eastAsia="仿宋_GB2312"/>
          <w:sz w:val="32"/>
          <w:szCs w:val="32"/>
          <w:highlight w:val="none"/>
          <w:lang w:eastAsia="zh-CN"/>
        </w:rPr>
        <w:t>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2022年机关运行经费预算577500.00元，比上年预算数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100000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减少14.76%，减少的主要原因是：单位运转经费减少</w:t>
      </w:r>
      <w:r>
        <w:rPr>
          <w:rFonts w:hint="eastAsia" w:ascii="仿宋_GB2312" w:hAnsi="黑体" w:eastAsia="仿宋_GB2312"/>
          <w:sz w:val="32"/>
          <w:szCs w:val="32"/>
          <w:highlight w:val="none"/>
        </w:rPr>
        <w:t>。政府采购预算245520.00元，比上年预算数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1814480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88</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政府货物</w:t>
      </w:r>
      <w:r>
        <w:rPr>
          <w:rFonts w:hint="eastAsia" w:ascii="仿宋_GB2312" w:hAnsi="黑体" w:eastAsia="仿宋_GB2312"/>
          <w:sz w:val="32"/>
          <w:szCs w:val="32"/>
          <w:highlight w:val="none"/>
          <w:lang w:eastAsia="zh-CN"/>
        </w:rPr>
        <w:t>采购减少</w:t>
      </w:r>
      <w:r>
        <w:rPr>
          <w:rFonts w:hint="eastAsia" w:ascii="仿宋_GB2312" w:hAnsi="黑体" w:eastAsia="仿宋_GB2312"/>
          <w:sz w:val="32"/>
          <w:szCs w:val="32"/>
          <w:highlight w:val="none"/>
        </w:rPr>
        <w:t>，其中：政府采购货物预算245520.00元，政府采购工程预算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spacing w:line="640" w:lineRule="exact"/>
        <w:ind w:firstLine="640" w:firstLineChars="200"/>
        <w:rPr>
          <w:rFonts w:ascii="仿宋_GB2312" w:hAnsi="黑体" w:eastAsia="仿宋_GB2312"/>
          <w:sz w:val="32"/>
          <w:szCs w:val="32"/>
          <w:highlight w:val="none"/>
        </w:rPr>
      </w:pP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88600"/>
    <w:multiLevelType w:val="singleLevel"/>
    <w:tmpl w:val="05388600"/>
    <w:lvl w:ilvl="0" w:tentative="0">
      <w:start w:val="2"/>
      <w:numFmt w:val="chineseCounting"/>
      <w:suff w:val="nothing"/>
      <w:lvlText w:val="（%1）"/>
      <w:lvlJc w:val="left"/>
      <w:rPr>
        <w:rFonts w:hint="eastAsia"/>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A6A65A3"/>
    <w:rsid w:val="0B896034"/>
    <w:rsid w:val="0BEB50F9"/>
    <w:rsid w:val="0CD75DDB"/>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051558"/>
    <w:rsid w:val="23513756"/>
    <w:rsid w:val="250F1490"/>
    <w:rsid w:val="292A0545"/>
    <w:rsid w:val="2B26350E"/>
    <w:rsid w:val="2B5C1C56"/>
    <w:rsid w:val="2BCF3D4E"/>
    <w:rsid w:val="2D550DF7"/>
    <w:rsid w:val="2DBA0562"/>
    <w:rsid w:val="2EA9483D"/>
    <w:rsid w:val="2EB37960"/>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CDA4853"/>
    <w:rsid w:val="4D903B41"/>
    <w:rsid w:val="4DA8126D"/>
    <w:rsid w:val="4DD72226"/>
    <w:rsid w:val="4EA300AE"/>
    <w:rsid w:val="50022A57"/>
    <w:rsid w:val="50622DD8"/>
    <w:rsid w:val="51C77E42"/>
    <w:rsid w:val="542E3461"/>
    <w:rsid w:val="54B1376D"/>
    <w:rsid w:val="56311F34"/>
    <w:rsid w:val="564548F7"/>
    <w:rsid w:val="565305B1"/>
    <w:rsid w:val="56C73340"/>
    <w:rsid w:val="59441D15"/>
    <w:rsid w:val="5A3206F2"/>
    <w:rsid w:val="5E982CC3"/>
    <w:rsid w:val="61EF1B1B"/>
    <w:rsid w:val="621A3658"/>
    <w:rsid w:val="62B62979"/>
    <w:rsid w:val="64252B6E"/>
    <w:rsid w:val="642D7291"/>
    <w:rsid w:val="651520BC"/>
    <w:rsid w:val="661A6258"/>
    <w:rsid w:val="6A136FDE"/>
    <w:rsid w:val="6A752B54"/>
    <w:rsid w:val="6DE9731F"/>
    <w:rsid w:val="6EA6456E"/>
    <w:rsid w:val="74517818"/>
    <w:rsid w:val="75840CDB"/>
    <w:rsid w:val="75FA50B5"/>
    <w:rsid w:val="77781E83"/>
    <w:rsid w:val="78062181"/>
    <w:rsid w:val="794965D5"/>
    <w:rsid w:val="79D61FC6"/>
    <w:rsid w:val="79E64AC5"/>
    <w:rsid w:val="7CF82ADB"/>
    <w:rsid w:val="7D3A4D17"/>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3638</Words>
  <Characters>4145</Characters>
  <Lines>16</Lines>
  <Paragraphs>4</Paragraphs>
  <TotalTime>0</TotalTime>
  <ScaleCrop>false</ScaleCrop>
  <LinksUpToDate>false</LinksUpToDate>
  <CharactersWithSpaces>4227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2023-06-09T04:58:52Z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96070A08DA5D414CA446F528343AF584_13</vt:lpwstr>
  </property>
</Properties>
</file>