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52"/>
          <w:szCs w:val="52"/>
        </w:rPr>
      </w:pPr>
    </w:p>
    <w:p>
      <w:pPr>
        <w:jc w:val="center"/>
        <w:rPr>
          <w:rFonts w:hint="eastAsia" w:ascii="黑体" w:hAnsi="黑体" w:eastAsia="黑体" w:cs="黑体"/>
          <w:b w:val="0"/>
          <w:bCs w:val="0"/>
          <w:sz w:val="72"/>
          <w:szCs w:val="72"/>
        </w:rPr>
      </w:pPr>
      <w:r>
        <w:rPr>
          <w:rFonts w:hint="eastAsia" w:ascii="黑体" w:hAnsi="黑体" w:eastAsia="黑体" w:cs="黑体"/>
          <w:b w:val="0"/>
          <w:bCs w:val="0"/>
          <w:sz w:val="72"/>
          <w:szCs w:val="72"/>
          <w:lang w:val="en-US" w:eastAsia="zh-CN"/>
        </w:rPr>
        <w:t>东乡县残疾人联合会</w:t>
      </w:r>
      <w:r>
        <w:rPr>
          <w:rFonts w:hint="eastAsia" w:ascii="黑体" w:hAnsi="黑体" w:eastAsia="黑体" w:cs="黑体"/>
          <w:b w:val="0"/>
          <w:bCs w:val="0"/>
          <w:sz w:val="72"/>
          <w:szCs w:val="72"/>
        </w:rPr>
        <w:t>部门预算</w:t>
      </w:r>
    </w:p>
    <w:p>
      <w:pPr>
        <w:jc w:val="center"/>
        <w:rPr>
          <w:rFonts w:ascii="方正小标宋简体" w:eastAsia="方正小标宋简体"/>
          <w:sz w:val="48"/>
          <w:szCs w:val="48"/>
        </w:rPr>
      </w:pPr>
      <w:r>
        <w:rPr>
          <w:rFonts w:hint="eastAsia" w:ascii="方正小标宋简体" w:eastAsia="方正小标宋简体"/>
          <w:sz w:val="48"/>
          <w:szCs w:val="48"/>
        </w:rPr>
        <w:t>（2022年度）</w:t>
      </w:r>
    </w:p>
    <w:p>
      <w:pPr>
        <w:tabs>
          <w:tab w:val="left" w:pos="12150"/>
        </w:tabs>
        <w:jc w:val="left"/>
        <w:rPr>
          <w:rFonts w:ascii="方正小标宋简体" w:eastAsia="方正小标宋简体"/>
          <w:sz w:val="48"/>
          <w:szCs w:val="48"/>
        </w:rPr>
      </w:pPr>
      <w:r>
        <w:rPr>
          <w:rFonts w:ascii="方正小标宋简体" w:eastAsia="方正小标宋简体"/>
          <w:sz w:val="48"/>
          <w:szCs w:val="48"/>
        </w:rPr>
        <w:tab/>
      </w:r>
    </w:p>
    <w:p>
      <w:pPr>
        <w:jc w:val="center"/>
        <w:rPr>
          <w:rFonts w:ascii="方正小标宋简体" w:eastAsia="方正小标宋简体"/>
          <w:sz w:val="48"/>
          <w:szCs w:val="48"/>
        </w:rPr>
      </w:pPr>
    </w:p>
    <w:p>
      <w:pPr>
        <w:jc w:val="center"/>
        <w:rPr>
          <w:rFonts w:ascii="方正小标宋简体" w:eastAsia="方正小标宋简体"/>
          <w:sz w:val="48"/>
          <w:szCs w:val="48"/>
        </w:rPr>
      </w:pPr>
    </w:p>
    <w:p>
      <w:pPr>
        <w:jc w:val="center"/>
        <w:rPr>
          <w:rFonts w:ascii="方正小标宋简体" w:eastAsia="方正小标宋简体"/>
          <w:sz w:val="48"/>
          <w:szCs w:val="48"/>
        </w:rPr>
      </w:pPr>
    </w:p>
    <w:p>
      <w:pPr>
        <w:jc w:val="center"/>
        <w:rPr>
          <w:rFonts w:ascii="方正小标宋简体" w:eastAsia="方正小标宋简体"/>
          <w:sz w:val="48"/>
          <w:szCs w:val="48"/>
        </w:rPr>
      </w:pPr>
      <w:r>
        <w:rPr>
          <w:rFonts w:hint="eastAsia" w:ascii="方正小标宋简体" w:eastAsia="方正小标宋简体"/>
          <w:sz w:val="48"/>
          <w:szCs w:val="48"/>
        </w:rPr>
        <w:t>2022年5月</w:t>
      </w:r>
    </w:p>
    <w:p>
      <w:pPr>
        <w:jc w:val="center"/>
        <w:rPr>
          <w:rFonts w:hint="eastAsia" w:ascii="黑体" w:hAnsi="黑体" w:eastAsia="黑体"/>
          <w:sz w:val="48"/>
          <w:szCs w:val="48"/>
        </w:rPr>
      </w:pPr>
    </w:p>
    <w:p>
      <w:pPr>
        <w:jc w:val="center"/>
        <w:rPr>
          <w:rFonts w:hint="eastAsia" w:ascii="黑体" w:hAnsi="黑体" w:eastAsia="黑体"/>
          <w:sz w:val="48"/>
          <w:szCs w:val="48"/>
        </w:rPr>
      </w:pPr>
    </w:p>
    <w:p>
      <w:pPr>
        <w:jc w:val="center"/>
        <w:rPr>
          <w:rFonts w:hint="eastAsia" w:ascii="黑体" w:hAnsi="黑体" w:eastAsia="黑体"/>
          <w:sz w:val="48"/>
          <w:szCs w:val="48"/>
        </w:rPr>
      </w:pPr>
    </w:p>
    <w:p>
      <w:pPr>
        <w:jc w:val="center"/>
        <w:rPr>
          <w:rFonts w:hint="eastAsia" w:ascii="黑体" w:hAnsi="黑体" w:eastAsia="黑体"/>
          <w:sz w:val="48"/>
          <w:szCs w:val="48"/>
        </w:rPr>
      </w:pPr>
    </w:p>
    <w:p>
      <w:pPr>
        <w:jc w:val="center"/>
        <w:rPr>
          <w:rFonts w:ascii="黑体" w:hAnsi="黑体" w:eastAsia="黑体"/>
          <w:sz w:val="48"/>
          <w:szCs w:val="48"/>
        </w:rPr>
      </w:pPr>
      <w:r>
        <w:rPr>
          <w:rFonts w:hint="eastAsia" w:ascii="黑体" w:hAnsi="黑体" w:eastAsia="黑体"/>
          <w:sz w:val="48"/>
          <w:szCs w:val="48"/>
        </w:rPr>
        <w:t>目    录</w:t>
      </w:r>
    </w:p>
    <w:p>
      <w:pPr>
        <w:rPr>
          <w:rFonts w:ascii="仿宋_GB2312" w:hAnsi="黑体" w:eastAsia="仿宋_GB2312"/>
          <w:sz w:val="32"/>
          <w:szCs w:val="32"/>
        </w:rPr>
      </w:pP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第一部分  部门概况</w:t>
      </w:r>
    </w:p>
    <w:p>
      <w:pPr>
        <w:spacing w:line="640" w:lineRule="exact"/>
        <w:ind w:firstLine="1564" w:firstLineChars="489"/>
        <w:rPr>
          <w:rFonts w:ascii="仿宋_GB2312" w:hAnsi="黑体" w:eastAsia="仿宋_GB2312"/>
          <w:sz w:val="32"/>
          <w:szCs w:val="32"/>
        </w:rPr>
      </w:pPr>
      <w:r>
        <w:rPr>
          <w:rFonts w:hint="eastAsia" w:ascii="仿宋_GB2312" w:hAnsi="黑体" w:eastAsia="仿宋_GB2312"/>
          <w:sz w:val="32"/>
          <w:szCs w:val="32"/>
        </w:rPr>
        <w:t>一、部门职责</w:t>
      </w:r>
    </w:p>
    <w:p>
      <w:pPr>
        <w:spacing w:line="640" w:lineRule="exact"/>
        <w:ind w:firstLine="1590" w:firstLineChars="497"/>
        <w:rPr>
          <w:rFonts w:ascii="仿宋_GB2312" w:hAnsi="黑体" w:eastAsia="仿宋_GB2312"/>
          <w:sz w:val="32"/>
          <w:szCs w:val="32"/>
        </w:rPr>
      </w:pPr>
      <w:r>
        <w:rPr>
          <w:rFonts w:hint="eastAsia" w:ascii="仿宋_GB2312" w:hAnsi="黑体" w:eastAsia="仿宋_GB2312"/>
          <w:sz w:val="32"/>
          <w:szCs w:val="32"/>
        </w:rPr>
        <w:t>二、机构设置</w:t>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第二部分  2022年部门预算表格</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一、2022年部门收支总表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二、2022年部门收入总表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三、2022年部门支出总表</w:t>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四、2022年部门财政拨款收支总表</w:t>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五、2022年部门一般公共预算支出表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六、2022年部门政府性基金预算支出表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七、2022年部门预算经济分类和对应的政府预算经济分类基本支出预算明细表</w:t>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八、2022年部门预算经济分类和对应的政府预算经济分类项目支出预算明细表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九、2022年部门政府采购预算表</w:t>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十、2022年部门“三公”经费预算财政拨款情况表</w:t>
      </w:r>
      <w:r>
        <w:rPr>
          <w:rFonts w:hint="eastAsia" w:ascii="仿宋_GB2312" w:hAnsi="黑体" w:eastAsia="仿宋_GB2312"/>
          <w:sz w:val="32"/>
          <w:szCs w:val="32"/>
        </w:rPr>
        <w:tab/>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第三部分  部门预算情况说明</w:t>
      </w:r>
    </w:p>
    <w:p>
      <w:pPr>
        <w:spacing w:line="640" w:lineRule="exact"/>
        <w:ind w:firstLine="1285" w:firstLineChars="400"/>
        <w:rPr>
          <w:rFonts w:ascii="仿宋_GB2312" w:hAnsi="黑体" w:eastAsia="仿宋_GB2312"/>
          <w:sz w:val="32"/>
          <w:szCs w:val="32"/>
        </w:rPr>
      </w:pPr>
      <w:r>
        <w:rPr>
          <w:rFonts w:hint="eastAsia" w:ascii="仿宋_GB2312" w:hAnsi="黑体" w:eastAsia="仿宋_GB2312"/>
          <w:b/>
          <w:sz w:val="32"/>
          <w:szCs w:val="32"/>
        </w:rPr>
        <w:t xml:space="preserve">  </w:t>
      </w:r>
      <w:r>
        <w:rPr>
          <w:rFonts w:hint="eastAsia" w:ascii="仿宋_GB2312" w:hAnsi="黑体" w:eastAsia="仿宋_GB2312"/>
          <w:sz w:val="32"/>
          <w:szCs w:val="32"/>
        </w:rPr>
        <w:t>一、部门预算总体说明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二、部门一般公共预算支出情况说明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三、部门一般公共预算基本支出情况说明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四、部门“三公”经费情况说明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五、部门机关运行经费及政府采购预算情况说明</w:t>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第四部分  名词解释</w:t>
      </w: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52"/>
          <w:szCs w:val="52"/>
        </w:rPr>
      </w:pPr>
      <w:r>
        <w:rPr>
          <w:rFonts w:hint="eastAsia" w:ascii="仿宋_GB2312" w:hAnsi="黑体" w:eastAsia="仿宋_GB2312"/>
          <w:b/>
          <w:sz w:val="52"/>
          <w:szCs w:val="52"/>
        </w:rPr>
        <w:t>第一部分  部门概况</w:t>
      </w:r>
    </w:p>
    <w:p>
      <w:pPr>
        <w:spacing w:line="640" w:lineRule="exact"/>
        <w:rPr>
          <w:rFonts w:ascii="黑体" w:hAnsi="黑体" w:eastAsia="黑体"/>
          <w:sz w:val="32"/>
          <w:szCs w:val="32"/>
        </w:rPr>
      </w:pPr>
      <w:r>
        <w:rPr>
          <w:rFonts w:hint="eastAsia" w:ascii="仿宋_GB2312" w:hAnsi="黑体" w:eastAsia="仿宋_GB2312"/>
          <w:sz w:val="32"/>
          <w:szCs w:val="32"/>
        </w:rPr>
        <w:t xml:space="preserve">  </w:t>
      </w:r>
    </w:p>
    <w:p>
      <w:pPr>
        <w:numPr>
          <w:ilvl w:val="0"/>
          <w:numId w:val="1"/>
        </w:numPr>
        <w:spacing w:line="640" w:lineRule="exact"/>
        <w:rPr>
          <w:rFonts w:ascii="黑体" w:hAnsi="黑体" w:eastAsia="黑体"/>
          <w:sz w:val="32"/>
          <w:szCs w:val="32"/>
        </w:rPr>
      </w:pPr>
      <w:r>
        <w:rPr>
          <w:rFonts w:hint="eastAsia" w:ascii="黑体" w:hAnsi="黑体" w:eastAsia="黑体"/>
          <w:sz w:val="32"/>
          <w:szCs w:val="32"/>
        </w:rPr>
        <w:t>部门职责</w:t>
      </w:r>
    </w:p>
    <w:p>
      <w:pPr>
        <w:keepNext w:val="0"/>
        <w:keepLines w:val="0"/>
        <w:widowControl/>
        <w:suppressLineNumbers w:val="0"/>
        <w:ind w:firstLine="680" w:firstLineChars="200"/>
        <w:jc w:val="left"/>
      </w:pPr>
      <w:r>
        <w:rPr>
          <w:rFonts w:ascii="仿宋" w:hAnsi="仿宋" w:eastAsia="仿宋" w:cs="仿宋"/>
          <w:color w:val="000000"/>
          <w:kern w:val="0"/>
          <w:sz w:val="34"/>
          <w:szCs w:val="34"/>
          <w:lang w:val="en-US" w:eastAsia="zh-CN" w:bidi="ar"/>
        </w:rPr>
        <w:t xml:space="preserve">（一）贯彻执行党、国家和省委、省政府;州委、州政府和县委.县政府关 </w:t>
      </w:r>
      <w:r>
        <w:rPr>
          <w:rFonts w:hint="eastAsia" w:ascii="仿宋" w:hAnsi="仿宋" w:eastAsia="仿宋" w:cs="仿宋"/>
          <w:color w:val="000000"/>
          <w:kern w:val="0"/>
          <w:sz w:val="34"/>
          <w:szCs w:val="34"/>
          <w:lang w:val="en-US" w:eastAsia="zh-CN" w:bidi="ar"/>
        </w:rPr>
        <w:t>于残疾人事业的方针、政策和法律、法规；协助县政府研究、制定和实施残疾人事业的法规、 政策和规划，对有关业务领域进行指导和管理。 （二）听取残疾人意见，反映残疾人需求 ，维护残疾人权益，为残疾人服务。 （三）团结、教育残疾人遵守法律，履行应尽的义务 ，发扬乐观进取精神，自尊、自信、自强、自立，为社会主义建设贡献力量。 （四）弘扬人 道主义，宣传残疾人事业，沟通政府、社会与残疾人之间的联系，动员社会理解、尊重、关心 、帮助残疾人。 （五）开展残疾人精准扶贫、社会保障、劳动就业、教育、康复、文化、体 育、科研、用品用具供应、福利、社会服务、无障碍设施和残疾预防等工作，创造良好的环境 和条件，扶助残疾人平等参与社会生活。 （六）承担县政府残疾人工作委员会的日常工作 ，做好综合、组织、协调和服务。 （七）协助管理并指导乡（镇）残联领导班子建设。 （八）指导和管理各类残疾人社团组织。 （九）组织开展残疾人事业的交流与合作。 （十 ）承办县委、县政府和州残联交办的其他工作</w:t>
      </w:r>
    </w:p>
    <w:p>
      <w:pPr>
        <w:spacing w:line="640" w:lineRule="exact"/>
        <w:ind w:firstLine="645"/>
        <w:rPr>
          <w:rFonts w:ascii="黑体" w:hAnsi="黑体" w:eastAsia="黑体"/>
          <w:sz w:val="32"/>
          <w:szCs w:val="32"/>
        </w:rPr>
      </w:pPr>
      <w:r>
        <w:rPr>
          <w:rFonts w:hint="eastAsia" w:ascii="黑体" w:hAnsi="黑体" w:eastAsia="黑体"/>
          <w:sz w:val="32"/>
          <w:szCs w:val="32"/>
        </w:rPr>
        <w:t>二、机构设置</w:t>
      </w:r>
    </w:p>
    <w:p>
      <w:pPr>
        <w:keepNext w:val="0"/>
        <w:keepLines w:val="0"/>
        <w:widowControl/>
        <w:suppressLineNumbers w:val="0"/>
        <w:ind w:firstLine="680" w:firstLineChars="200"/>
        <w:jc w:val="left"/>
      </w:pPr>
      <w:r>
        <w:rPr>
          <w:rFonts w:ascii="仿宋" w:hAnsi="仿宋" w:eastAsia="仿宋" w:cs="仿宋"/>
          <w:color w:val="000000"/>
          <w:kern w:val="0"/>
          <w:sz w:val="34"/>
          <w:szCs w:val="34"/>
          <w:lang w:val="en-US" w:eastAsia="zh-CN" w:bidi="ar"/>
        </w:rPr>
        <w:t xml:space="preserve">（一）办公室 （二）组宣股 （三）康复股 （四）教就股 （五）维权股 </w:t>
      </w:r>
      <w:r>
        <w:rPr>
          <w:rFonts w:hint="eastAsia" w:ascii="仿宋" w:hAnsi="仿宋" w:eastAsia="仿宋" w:cs="仿宋"/>
          <w:color w:val="000000"/>
          <w:kern w:val="0"/>
          <w:sz w:val="34"/>
          <w:szCs w:val="34"/>
          <w:lang w:val="en-US" w:eastAsia="zh-CN" w:bidi="ar"/>
        </w:rPr>
        <w:t>（六）就业服务中心</w:t>
      </w:r>
    </w:p>
    <w:p>
      <w:pPr>
        <w:spacing w:line="840" w:lineRule="exact"/>
        <w:ind w:left="1767"/>
        <w:rPr>
          <w:rFonts w:ascii="仿宋_GB2312" w:hAnsi="黑体" w:eastAsia="仿宋_GB2312"/>
          <w:b/>
          <w:sz w:val="44"/>
          <w:szCs w:val="44"/>
        </w:rPr>
      </w:pPr>
    </w:p>
    <w:p>
      <w:pPr>
        <w:spacing w:line="840" w:lineRule="exact"/>
        <w:ind w:left="1767"/>
        <w:rPr>
          <w:rFonts w:ascii="仿宋_GB2312" w:hAnsi="黑体" w:eastAsia="仿宋_GB2312"/>
          <w:b/>
          <w:sz w:val="44"/>
          <w:szCs w:val="44"/>
        </w:rPr>
      </w:pPr>
    </w:p>
    <w:p>
      <w:pPr>
        <w:spacing w:line="640" w:lineRule="exact"/>
        <w:rPr>
          <w:rFonts w:ascii="仿宋_GB2312" w:hAnsi="黑体" w:eastAsia="仿宋_GB2312"/>
          <w:b/>
          <w:sz w:val="44"/>
          <w:szCs w:val="44"/>
        </w:rPr>
      </w:pPr>
    </w:p>
    <w:p>
      <w:pPr>
        <w:spacing w:line="640" w:lineRule="exact"/>
        <w:rPr>
          <w:rFonts w:ascii="仿宋_GB2312" w:hAnsi="黑体" w:eastAsia="仿宋_GB2312"/>
          <w:b/>
          <w:sz w:val="44"/>
          <w:szCs w:val="44"/>
        </w:rPr>
      </w:pPr>
    </w:p>
    <w:p>
      <w:pPr>
        <w:spacing w:line="640" w:lineRule="exact"/>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hint="eastAsia" w:ascii="仿宋_GB2312" w:hAnsi="黑体" w:eastAsia="仿宋_GB2312"/>
          <w:b/>
          <w:sz w:val="52"/>
          <w:szCs w:val="52"/>
        </w:rPr>
      </w:pPr>
    </w:p>
    <w:p>
      <w:pPr>
        <w:spacing w:line="640" w:lineRule="exact"/>
        <w:jc w:val="center"/>
        <w:rPr>
          <w:rFonts w:hint="eastAsia" w:ascii="仿宋_GB2312" w:hAnsi="黑体" w:eastAsia="仿宋_GB2312"/>
          <w:b/>
          <w:sz w:val="52"/>
          <w:szCs w:val="52"/>
        </w:rPr>
      </w:pPr>
    </w:p>
    <w:p>
      <w:pPr>
        <w:spacing w:line="640" w:lineRule="exact"/>
        <w:jc w:val="center"/>
        <w:rPr>
          <w:rFonts w:hint="eastAsia" w:ascii="仿宋_GB2312" w:hAnsi="黑体" w:eastAsia="仿宋_GB2312"/>
          <w:b/>
          <w:sz w:val="52"/>
          <w:szCs w:val="52"/>
        </w:rPr>
      </w:pPr>
    </w:p>
    <w:p>
      <w:pPr>
        <w:spacing w:line="640" w:lineRule="exact"/>
        <w:jc w:val="center"/>
        <w:rPr>
          <w:rFonts w:ascii="仿宋_GB2312" w:hAnsi="黑体" w:eastAsia="仿宋_GB2312"/>
          <w:sz w:val="32"/>
          <w:szCs w:val="32"/>
        </w:rPr>
      </w:pPr>
      <w:r>
        <w:rPr>
          <w:rFonts w:hint="eastAsia" w:ascii="仿宋_GB2312" w:hAnsi="黑体" w:eastAsia="仿宋_GB2312"/>
          <w:b/>
          <w:sz w:val="52"/>
          <w:szCs w:val="52"/>
        </w:rPr>
        <w:t xml:space="preserve">第二部分  2022年部门预算表格  </w:t>
      </w:r>
      <w:r>
        <w:rPr>
          <w:rFonts w:hint="eastAsia" w:ascii="仿宋_GB2312" w:hAnsi="黑体" w:eastAsia="仿宋_GB2312"/>
          <w:sz w:val="32"/>
          <w:szCs w:val="32"/>
        </w:rPr>
        <w:t xml:space="preserve">  </w:t>
      </w:r>
    </w:p>
    <w:p>
      <w:pPr>
        <w:spacing w:line="640" w:lineRule="exact"/>
        <w:ind w:left="640"/>
        <w:rPr>
          <w:rFonts w:ascii="黑体" w:hAnsi="黑体" w:eastAsia="黑体"/>
          <w:sz w:val="32"/>
          <w:szCs w:val="32"/>
        </w:rPr>
      </w:pPr>
    </w:p>
    <w:p>
      <w:pPr>
        <w:spacing w:line="840" w:lineRule="exact"/>
        <w:jc w:val="both"/>
        <w:rPr>
          <w:rFonts w:hint="eastAsia" w:ascii="仿宋_GB2312" w:hAnsi="黑体" w:eastAsia="仿宋_GB2312"/>
          <w:b/>
          <w:sz w:val="52"/>
          <w:szCs w:val="52"/>
        </w:rPr>
      </w:pPr>
    </w:p>
    <w:p>
      <w:pPr>
        <w:spacing w:line="840" w:lineRule="exact"/>
        <w:jc w:val="center"/>
        <w:rPr>
          <w:rFonts w:ascii="仿宋_GB2312" w:hAnsi="黑体" w:eastAsia="仿宋_GB2312"/>
          <w:b/>
          <w:sz w:val="52"/>
          <w:szCs w:val="52"/>
          <w:highlight w:val="none"/>
        </w:rPr>
      </w:pPr>
      <w:r>
        <w:rPr>
          <w:rFonts w:hint="eastAsia" w:ascii="仿宋_GB2312" w:eastAsia="仿宋_GB2312"/>
          <w:color w:val="000000"/>
          <w:sz w:val="32"/>
          <w:szCs w:val="32"/>
          <w:highlight w:val="none"/>
        </w:rPr>
        <w:t>(本部分共公开</w:t>
      </w:r>
      <w:r>
        <w:rPr>
          <w:rFonts w:ascii="仿宋_GB2312" w:eastAsia="仿宋_GB2312"/>
          <w:color w:val="000000"/>
          <w:sz w:val="32"/>
          <w:szCs w:val="32"/>
          <w:highlight w:val="none"/>
        </w:rPr>
        <w:t>10</w:t>
      </w:r>
      <w:r>
        <w:rPr>
          <w:rFonts w:hint="eastAsia" w:ascii="仿宋_GB2312" w:eastAsia="仿宋_GB2312"/>
          <w:color w:val="000000"/>
          <w:sz w:val="32"/>
          <w:szCs w:val="32"/>
          <w:highlight w:val="none"/>
        </w:rPr>
        <w:t>张表，具体按通知要求公开，注意表格顺序和连续性)</w:t>
      </w:r>
    </w:p>
    <w:p>
      <w:pPr>
        <w:spacing w:line="840" w:lineRule="exact"/>
        <w:jc w:val="center"/>
        <w:rPr>
          <w:rFonts w:hint="eastAsia" w:ascii="仿宋_GB2312" w:hAnsi="黑体" w:eastAsia="仿宋_GB2312"/>
          <w:b/>
          <w:sz w:val="52"/>
          <w:szCs w:val="52"/>
        </w:rPr>
      </w:pPr>
    </w:p>
    <w:p>
      <w:pPr>
        <w:spacing w:line="840" w:lineRule="exact"/>
        <w:jc w:val="center"/>
        <w:rPr>
          <w:rFonts w:hint="eastAsia" w:ascii="仿宋_GB2312" w:hAnsi="黑体" w:eastAsia="仿宋_GB2312"/>
          <w:b/>
          <w:sz w:val="52"/>
          <w:szCs w:val="52"/>
        </w:rPr>
      </w:pPr>
    </w:p>
    <w:p>
      <w:pPr>
        <w:spacing w:line="840" w:lineRule="exact"/>
        <w:jc w:val="center"/>
        <w:rPr>
          <w:rFonts w:hint="eastAsia" w:ascii="仿宋_GB2312" w:hAnsi="黑体" w:eastAsia="仿宋_GB2312"/>
          <w:b/>
          <w:sz w:val="52"/>
          <w:szCs w:val="52"/>
        </w:rPr>
      </w:pPr>
    </w:p>
    <w:p>
      <w:pPr>
        <w:spacing w:line="840" w:lineRule="exact"/>
        <w:jc w:val="center"/>
        <w:rPr>
          <w:rFonts w:hint="eastAsia" w:ascii="仿宋_GB2312" w:hAnsi="黑体" w:eastAsia="仿宋_GB2312"/>
          <w:b/>
          <w:sz w:val="52"/>
          <w:szCs w:val="52"/>
        </w:rPr>
      </w:pPr>
    </w:p>
    <w:p>
      <w:pPr>
        <w:spacing w:line="840" w:lineRule="exact"/>
        <w:jc w:val="center"/>
        <w:rPr>
          <w:rFonts w:hint="eastAsia" w:ascii="仿宋_GB2312" w:hAnsi="黑体" w:eastAsia="仿宋_GB2312"/>
          <w:b/>
          <w:sz w:val="52"/>
          <w:szCs w:val="52"/>
        </w:rPr>
      </w:pPr>
    </w:p>
    <w:p>
      <w:pPr>
        <w:spacing w:line="840" w:lineRule="exact"/>
        <w:jc w:val="center"/>
        <w:rPr>
          <w:rFonts w:ascii="仿宋_GB2312" w:hAnsi="黑体" w:eastAsia="仿宋_GB2312"/>
          <w:sz w:val="32"/>
          <w:szCs w:val="32"/>
        </w:rPr>
      </w:pPr>
      <w:r>
        <w:rPr>
          <w:rFonts w:hint="eastAsia" w:ascii="仿宋_GB2312" w:hAnsi="黑体" w:eastAsia="仿宋_GB2312"/>
          <w:b/>
          <w:sz w:val="52"/>
          <w:szCs w:val="52"/>
        </w:rPr>
        <w:t>第三部分  部门预算情况说明</w:t>
      </w:r>
      <w:r>
        <w:rPr>
          <w:rFonts w:hint="eastAsia" w:ascii="仿宋_GB2312" w:hAnsi="黑体" w:eastAsia="仿宋_GB2312"/>
          <w:sz w:val="32"/>
          <w:szCs w:val="32"/>
        </w:rPr>
        <w:t xml:space="preserve">  </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一、部门预算总体说明</w:t>
      </w:r>
    </w:p>
    <w:p>
      <w:pPr>
        <w:spacing w:line="640" w:lineRule="exact"/>
        <w:ind w:firstLine="640" w:firstLineChars="200"/>
        <w:rPr>
          <w:rFonts w:hint="eastAsia" w:ascii="仿宋_GB2312" w:hAnsi="黑体" w:eastAsia="仿宋_GB2312"/>
          <w:sz w:val="32"/>
          <w:szCs w:val="32"/>
          <w:highlight w:val="none"/>
          <w:lang w:val="en-US" w:eastAsia="zh-CN"/>
        </w:rPr>
      </w:pPr>
      <w:r>
        <w:rPr>
          <w:rFonts w:hint="eastAsia" w:ascii="仿宋_GB2312" w:hAnsi="黑体" w:eastAsia="仿宋_GB2312"/>
          <w:sz w:val="32"/>
          <w:szCs w:val="32"/>
        </w:rPr>
        <w:t>2022年预算收入7449857.33元，比上年预算</w:t>
      </w:r>
      <w:r>
        <w:rPr>
          <w:rFonts w:hint="eastAsia" w:ascii="仿宋_GB2312" w:hAnsi="黑体" w:eastAsia="仿宋_GB2312"/>
          <w:sz w:val="32"/>
          <w:szCs w:val="32"/>
          <w:lang w:val="en-US" w:eastAsia="zh-CN"/>
        </w:rPr>
        <w:t>增加</w:t>
      </w:r>
      <w:r>
        <w:rPr>
          <w:rFonts w:hint="eastAsia" w:ascii="仿宋_GB2312" w:hAnsi="黑体" w:eastAsia="仿宋_GB2312"/>
          <w:sz w:val="32"/>
          <w:szCs w:val="32"/>
          <w:highlight w:val="none"/>
          <w:lang w:val="en-US" w:eastAsia="zh-CN"/>
        </w:rPr>
        <w:t>2760125.33</w:t>
      </w:r>
      <w:r>
        <w:rPr>
          <w:rFonts w:hint="eastAsia" w:ascii="仿宋_GB2312" w:hAnsi="黑体" w:eastAsia="仿宋_GB2312"/>
          <w:sz w:val="32"/>
          <w:szCs w:val="32"/>
        </w:rPr>
        <w:t>元，其中：一般公共预算财政拨款收入6567657.33元，政</w:t>
      </w:r>
      <w:r>
        <w:rPr>
          <w:rFonts w:hint="eastAsia" w:ascii="仿宋_GB2312" w:hAnsi="宋体" w:eastAsia="仿宋_GB2312"/>
          <w:sz w:val="32"/>
          <w:szCs w:val="32"/>
        </w:rPr>
        <w:t>府性基金预算财政拨款收入882200.00元。预算支出</w:t>
      </w:r>
      <w:r>
        <w:rPr>
          <w:rFonts w:hint="eastAsia" w:ascii="仿宋_GB2312" w:hAnsi="黑体" w:eastAsia="仿宋_GB2312"/>
          <w:sz w:val="32"/>
          <w:szCs w:val="32"/>
        </w:rPr>
        <w:t>7449857.33</w:t>
      </w:r>
      <w:r>
        <w:rPr>
          <w:rFonts w:hint="eastAsia" w:ascii="仿宋_GB2312" w:hAnsi="宋体" w:eastAsia="仿宋_GB2312"/>
          <w:sz w:val="32"/>
          <w:szCs w:val="32"/>
        </w:rPr>
        <w:t>元，相应比上年预算数</w:t>
      </w:r>
      <w:r>
        <w:rPr>
          <w:rFonts w:hint="eastAsia" w:ascii="仿宋_GB2312" w:hAnsi="宋体" w:eastAsia="仿宋_GB2312"/>
          <w:sz w:val="32"/>
          <w:szCs w:val="32"/>
          <w:lang w:val="en-US" w:eastAsia="zh-CN"/>
        </w:rPr>
        <w:t>增加</w:t>
      </w:r>
      <w:r>
        <w:rPr>
          <w:rFonts w:hint="eastAsia" w:ascii="仿宋_GB2312" w:hAnsi="黑体" w:eastAsia="仿宋_GB2312"/>
          <w:sz w:val="32"/>
          <w:szCs w:val="32"/>
          <w:highlight w:val="none"/>
          <w:lang w:val="en-US" w:eastAsia="zh-CN"/>
        </w:rPr>
        <w:t>58.85</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增加</w:t>
      </w:r>
      <w:r>
        <w:rPr>
          <w:rFonts w:hint="eastAsia" w:ascii="仿宋_GB2312" w:hAnsi="宋体" w:eastAsia="仿宋_GB2312"/>
          <w:sz w:val="32"/>
          <w:szCs w:val="32"/>
          <w:highlight w:val="none"/>
        </w:rPr>
        <w:t>的主要原因是：</w:t>
      </w:r>
      <w:r>
        <w:rPr>
          <w:rFonts w:hint="eastAsia" w:ascii="仿宋_GB2312" w:hAnsi="黑体" w:eastAsia="仿宋_GB2312"/>
          <w:sz w:val="32"/>
          <w:szCs w:val="32"/>
          <w:highlight w:val="none"/>
          <w:lang w:val="en-US" w:eastAsia="zh-CN"/>
        </w:rPr>
        <w:t>人员经费和残疾人康复经费增多。</w:t>
      </w:r>
    </w:p>
    <w:p>
      <w:pPr>
        <w:spacing w:line="640" w:lineRule="exact"/>
        <w:ind w:firstLine="643" w:firstLineChars="200"/>
        <w:rPr>
          <w:rFonts w:ascii="仿宋_GB2312" w:hAnsi="宋体" w:eastAsia="仿宋_GB2312"/>
          <w:b/>
          <w:bCs/>
          <w:sz w:val="32"/>
          <w:szCs w:val="32"/>
        </w:rPr>
      </w:pPr>
      <w:r>
        <w:rPr>
          <w:rFonts w:hint="eastAsia" w:ascii="仿宋_GB2312" w:hAnsi="宋体" w:eastAsia="仿宋_GB2312"/>
          <w:b/>
          <w:bCs/>
          <w:sz w:val="32"/>
          <w:szCs w:val="32"/>
        </w:rPr>
        <w:t>支出按功能分类科目安排为：</w:t>
      </w:r>
    </w:p>
    <w:p>
      <w:pPr>
        <w:spacing w:line="640" w:lineRule="exact"/>
        <w:ind w:firstLine="640" w:firstLineChars="200"/>
        <w:rPr>
          <w:rFonts w:hint="default" w:ascii="仿宋_GB2312" w:hAnsi="宋体" w:eastAsia="仿宋_GB2312" w:cs="Times New Roman"/>
          <w:sz w:val="32"/>
          <w:szCs w:val="32"/>
          <w:lang w:val="en-US" w:eastAsia="zh-CN"/>
        </w:rPr>
      </w:pPr>
      <w:r>
        <w:rPr>
          <w:rFonts w:hint="eastAsia" w:ascii="仿宋_GB2312" w:hAnsi="宋体" w:eastAsia="仿宋_GB2312"/>
          <w:sz w:val="32"/>
          <w:szCs w:val="32"/>
        </w:rPr>
        <w:t>社会保障和就业支出6011163.18</w:t>
      </w:r>
      <w:r>
        <w:rPr>
          <w:rFonts w:hint="eastAsia" w:ascii="仿宋_GB2312" w:hAnsi="黑体" w:eastAsia="仿宋_GB2312"/>
          <w:sz w:val="32"/>
          <w:szCs w:val="32"/>
        </w:rPr>
        <w:t>元</w:t>
      </w:r>
      <w:r>
        <w:rPr>
          <w:rFonts w:hint="eastAsia" w:ascii="仿宋_GB2312" w:hAnsi="黑体" w:eastAsia="仿宋_GB2312"/>
          <w:b/>
          <w:sz w:val="32"/>
          <w:szCs w:val="32"/>
          <w:lang w:val="en-US" w:eastAsia="zh-CN"/>
        </w:rPr>
        <w:t>，</w:t>
      </w:r>
      <w:r>
        <w:rPr>
          <w:rFonts w:hint="eastAsia" w:ascii="仿宋_GB2312" w:hAnsi="黑体" w:eastAsia="仿宋_GB2312"/>
          <w:sz w:val="32"/>
          <w:szCs w:val="32"/>
          <w:highlight w:val="none"/>
        </w:rPr>
        <w:t>比上年预算数</w:t>
      </w:r>
      <w:r>
        <w:rPr>
          <w:rFonts w:hint="eastAsia" w:ascii="仿宋_GB2312" w:hAnsi="黑体" w:eastAsia="仿宋_GB2312"/>
          <w:sz w:val="32"/>
          <w:szCs w:val="32"/>
          <w:highlight w:val="none"/>
          <w:lang w:eastAsia="zh-CN"/>
        </w:rPr>
        <w:t>增加</w:t>
      </w:r>
      <w:r>
        <w:rPr>
          <w:rFonts w:hint="eastAsia" w:ascii="仿宋_GB2312" w:hAnsi="黑体" w:eastAsia="仿宋_GB2312"/>
          <w:sz w:val="32"/>
          <w:szCs w:val="32"/>
          <w:highlight w:val="none"/>
          <w:lang w:val="en-US" w:eastAsia="zh-CN"/>
        </w:rPr>
        <w:t>29%。</w:t>
      </w:r>
      <w:r>
        <w:rPr>
          <w:rFonts w:hint="eastAsia" w:ascii="仿宋_GB2312" w:hAnsi="宋体" w:eastAsia="仿宋_GB2312" w:cs="Times New Roman"/>
          <w:sz w:val="32"/>
          <w:szCs w:val="32"/>
          <w:lang w:val="en-US" w:eastAsia="zh-CN"/>
        </w:rPr>
        <w:t>其原因是:</w:t>
      </w:r>
      <w:r>
        <w:rPr>
          <w:rFonts w:hint="eastAsia" w:ascii="仿宋_GB2312" w:hAnsi="黑体" w:eastAsia="仿宋_GB2312" w:cs="Times New Roman"/>
          <w:sz w:val="32"/>
          <w:szCs w:val="32"/>
          <w:lang w:val="en-US" w:eastAsia="zh-CN"/>
        </w:rPr>
        <w:t>养老保险基数增加。</w:t>
      </w:r>
    </w:p>
    <w:p>
      <w:pPr>
        <w:spacing w:line="640" w:lineRule="exact"/>
        <w:ind w:firstLine="640" w:firstLineChars="200"/>
        <w:rPr>
          <w:rFonts w:hint="default"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卫生健康支出198607.35元</w:t>
      </w:r>
      <w:r>
        <w:rPr>
          <w:rFonts w:hint="eastAsia" w:ascii="仿宋_GB2312" w:hAnsi="黑体" w:eastAsia="仿宋_GB2312"/>
          <w:b/>
          <w:sz w:val="32"/>
          <w:szCs w:val="32"/>
          <w:lang w:val="en-US" w:eastAsia="zh-CN"/>
        </w:rPr>
        <w:t>，</w:t>
      </w:r>
      <w:r>
        <w:rPr>
          <w:rFonts w:hint="eastAsia" w:ascii="仿宋_GB2312" w:hAnsi="黑体" w:eastAsia="仿宋_GB2312"/>
          <w:sz w:val="32"/>
          <w:szCs w:val="32"/>
          <w:highlight w:val="none"/>
        </w:rPr>
        <w:t>比上年预算数</w:t>
      </w:r>
      <w:r>
        <w:rPr>
          <w:rFonts w:hint="eastAsia" w:ascii="仿宋_GB2312" w:hAnsi="黑体" w:eastAsia="仿宋_GB2312"/>
          <w:sz w:val="32"/>
          <w:szCs w:val="32"/>
          <w:highlight w:val="none"/>
          <w:lang w:eastAsia="zh-CN"/>
        </w:rPr>
        <w:t>增加</w:t>
      </w:r>
      <w:r>
        <w:rPr>
          <w:rFonts w:hint="eastAsia" w:ascii="仿宋_GB2312" w:hAnsi="黑体" w:eastAsia="仿宋_GB2312"/>
          <w:sz w:val="32"/>
          <w:szCs w:val="32"/>
          <w:highlight w:val="none"/>
          <w:lang w:val="en-US" w:eastAsia="zh-CN"/>
        </w:rPr>
        <w:t>100%。</w:t>
      </w:r>
      <w:r>
        <w:rPr>
          <w:rFonts w:hint="eastAsia" w:ascii="仿宋_GB2312" w:hAnsi="宋体" w:eastAsia="仿宋_GB2312" w:cs="Times New Roman"/>
          <w:sz w:val="32"/>
          <w:szCs w:val="32"/>
          <w:lang w:val="en-US" w:eastAsia="zh-CN"/>
        </w:rPr>
        <w:t>其原因是:职工医疗保险支出</w:t>
      </w:r>
      <w:r>
        <w:rPr>
          <w:rFonts w:hint="eastAsia" w:ascii="仿宋_GB2312" w:hAnsi="黑体" w:eastAsia="仿宋_GB2312" w:cs="Times New Roman"/>
          <w:sz w:val="32"/>
          <w:szCs w:val="32"/>
          <w:lang w:val="en-US" w:eastAsia="zh-CN"/>
        </w:rPr>
        <w:t>科目调整。</w:t>
      </w:r>
    </w:p>
    <w:p>
      <w:pPr>
        <w:spacing w:line="640" w:lineRule="exact"/>
        <w:ind w:firstLine="640" w:firstLineChars="200"/>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住房保障支出357886.80元</w:t>
      </w:r>
      <w:r>
        <w:rPr>
          <w:rFonts w:hint="eastAsia" w:ascii="仿宋_GB2312" w:hAnsi="黑体" w:eastAsia="仿宋_GB2312"/>
          <w:b/>
          <w:sz w:val="32"/>
          <w:szCs w:val="32"/>
          <w:lang w:val="en-US" w:eastAsia="zh-CN"/>
        </w:rPr>
        <w:t>，</w:t>
      </w:r>
      <w:r>
        <w:rPr>
          <w:rFonts w:hint="eastAsia" w:ascii="仿宋_GB2312" w:hAnsi="黑体" w:eastAsia="仿宋_GB2312"/>
          <w:sz w:val="32"/>
          <w:szCs w:val="32"/>
          <w:highlight w:val="none"/>
        </w:rPr>
        <w:t>比上年预算数</w:t>
      </w:r>
      <w:r>
        <w:rPr>
          <w:rFonts w:hint="eastAsia" w:ascii="仿宋_GB2312" w:hAnsi="黑体" w:eastAsia="仿宋_GB2312"/>
          <w:sz w:val="32"/>
          <w:szCs w:val="32"/>
          <w:highlight w:val="none"/>
          <w:lang w:eastAsia="zh-CN"/>
        </w:rPr>
        <w:t>增加</w:t>
      </w:r>
      <w:r>
        <w:rPr>
          <w:rFonts w:hint="eastAsia" w:ascii="仿宋_GB2312" w:hAnsi="黑体" w:eastAsia="仿宋_GB2312"/>
          <w:sz w:val="32"/>
          <w:szCs w:val="32"/>
          <w:highlight w:val="none"/>
          <w:lang w:val="en-US" w:eastAsia="zh-CN"/>
        </w:rPr>
        <w:t>100%。</w:t>
      </w:r>
      <w:r>
        <w:rPr>
          <w:rFonts w:hint="eastAsia" w:ascii="仿宋_GB2312" w:hAnsi="宋体" w:eastAsia="仿宋_GB2312" w:cs="Times New Roman"/>
          <w:sz w:val="32"/>
          <w:szCs w:val="32"/>
          <w:lang w:val="en-US" w:eastAsia="zh-CN"/>
        </w:rPr>
        <w:t>其原因是:公积金支出</w:t>
      </w:r>
      <w:r>
        <w:rPr>
          <w:rFonts w:hint="eastAsia" w:ascii="仿宋_GB2312" w:hAnsi="黑体" w:eastAsia="仿宋_GB2312" w:cs="Times New Roman"/>
          <w:sz w:val="32"/>
          <w:szCs w:val="32"/>
          <w:lang w:val="en-US" w:eastAsia="zh-CN"/>
        </w:rPr>
        <w:t>科目调整。</w:t>
      </w:r>
    </w:p>
    <w:p>
      <w:pPr>
        <w:spacing w:line="640" w:lineRule="exact"/>
        <w:ind w:firstLine="640" w:firstLineChars="200"/>
        <w:rPr>
          <w:rFonts w:hint="default"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其他支出882200.00元</w:t>
      </w:r>
      <w:r>
        <w:rPr>
          <w:rFonts w:hint="eastAsia" w:ascii="仿宋_GB2312" w:hAnsi="黑体" w:eastAsia="仿宋_GB2312"/>
          <w:b/>
          <w:sz w:val="32"/>
          <w:szCs w:val="32"/>
          <w:lang w:val="en-US" w:eastAsia="zh-CN"/>
        </w:rPr>
        <w:t>，</w:t>
      </w:r>
      <w:r>
        <w:rPr>
          <w:rFonts w:hint="eastAsia" w:ascii="仿宋_GB2312" w:hAnsi="黑体" w:eastAsia="仿宋_GB2312"/>
          <w:sz w:val="32"/>
          <w:szCs w:val="32"/>
          <w:highlight w:val="none"/>
        </w:rPr>
        <w:t>比上年预算数</w:t>
      </w:r>
      <w:r>
        <w:rPr>
          <w:rFonts w:hint="eastAsia" w:ascii="仿宋_GB2312" w:hAnsi="黑体" w:eastAsia="仿宋_GB2312"/>
          <w:sz w:val="32"/>
          <w:szCs w:val="32"/>
          <w:highlight w:val="none"/>
          <w:lang w:eastAsia="zh-CN"/>
        </w:rPr>
        <w:t>增加</w:t>
      </w:r>
      <w:r>
        <w:rPr>
          <w:rFonts w:hint="eastAsia" w:ascii="仿宋_GB2312" w:hAnsi="黑体" w:eastAsia="仿宋_GB2312"/>
          <w:sz w:val="32"/>
          <w:szCs w:val="32"/>
          <w:highlight w:val="none"/>
          <w:lang w:val="en-US" w:eastAsia="zh-CN"/>
        </w:rPr>
        <w:t>100%。原因；残疾人生活补助增加。</w:t>
      </w:r>
    </w:p>
    <w:p>
      <w:pPr>
        <w:spacing w:line="640" w:lineRule="exact"/>
        <w:ind w:firstLine="643" w:firstLineChars="200"/>
        <w:rPr>
          <w:rFonts w:ascii="仿宋_GB2312" w:hAnsi="黑体" w:eastAsia="仿宋_GB2312"/>
          <w:b/>
          <w:sz w:val="32"/>
          <w:szCs w:val="32"/>
        </w:rPr>
      </w:pPr>
      <w:r>
        <w:rPr>
          <w:rFonts w:hint="eastAsia" w:ascii="仿宋_GB2312" w:hAnsi="黑体" w:eastAsia="仿宋_GB2312"/>
          <w:b/>
          <w:sz w:val="32"/>
          <w:szCs w:val="32"/>
        </w:rPr>
        <w:t>支出按经济分类科目安排为：</w:t>
      </w:r>
    </w:p>
    <w:p>
      <w:pPr>
        <w:spacing w:line="640" w:lineRule="exact"/>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sz w:val="32"/>
          <w:szCs w:val="32"/>
        </w:rPr>
        <w:t>工资福利支出5129857.33元，</w:t>
      </w:r>
      <w:r>
        <w:rPr>
          <w:rFonts w:hint="eastAsia" w:ascii="仿宋_GB2312" w:hAnsi="宋体" w:eastAsia="仿宋_GB2312" w:cs="Times New Roman"/>
          <w:sz w:val="32"/>
          <w:szCs w:val="32"/>
          <w:lang w:val="en-US" w:eastAsia="zh-CN"/>
        </w:rPr>
        <w:t>比上年增加26</w:t>
      </w:r>
      <w:r>
        <w:rPr>
          <w:rFonts w:hint="eastAsia" w:ascii="仿宋_GB2312" w:hAnsi="宋体" w:eastAsia="仿宋_GB2312"/>
          <w:sz w:val="32"/>
          <w:szCs w:val="32"/>
          <w:highlight w:val="none"/>
        </w:rPr>
        <w:t>%</w:t>
      </w:r>
      <w:r>
        <w:rPr>
          <w:rFonts w:hint="eastAsia" w:ascii="仿宋_GB2312" w:hAnsi="宋体" w:eastAsia="仿宋_GB2312" w:cs="Times New Roman"/>
          <w:sz w:val="32"/>
          <w:szCs w:val="32"/>
          <w:lang w:val="en-US" w:eastAsia="zh-CN"/>
        </w:rPr>
        <w:t>，其原因是：工资基数调整。</w:t>
      </w:r>
    </w:p>
    <w:p>
      <w:pPr>
        <w:spacing w:line="640" w:lineRule="exact"/>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sz w:val="32"/>
          <w:szCs w:val="32"/>
        </w:rPr>
        <w:t>商品和服务108000.00元，</w:t>
      </w:r>
      <w:r>
        <w:rPr>
          <w:rFonts w:hint="eastAsia" w:ascii="仿宋_GB2312" w:hAnsi="宋体" w:eastAsia="仿宋_GB2312" w:cs="Times New Roman"/>
          <w:sz w:val="32"/>
          <w:szCs w:val="32"/>
          <w:lang w:val="en-US" w:eastAsia="zh-CN"/>
        </w:rPr>
        <w:t>比上年减少54</w:t>
      </w:r>
      <w:r>
        <w:rPr>
          <w:rFonts w:hint="eastAsia" w:ascii="仿宋_GB2312" w:hAnsi="宋体" w:eastAsia="仿宋_GB2312"/>
          <w:sz w:val="32"/>
          <w:szCs w:val="32"/>
          <w:highlight w:val="none"/>
        </w:rPr>
        <w:t>%</w:t>
      </w:r>
      <w:r>
        <w:rPr>
          <w:rFonts w:hint="eastAsia" w:ascii="仿宋_GB2312" w:hAnsi="宋体" w:eastAsia="仿宋_GB2312" w:cs="Times New Roman"/>
          <w:sz w:val="32"/>
          <w:szCs w:val="32"/>
          <w:lang w:val="en-US" w:eastAsia="zh-CN"/>
        </w:rPr>
        <w:t>，其原因是：运转经费减少。</w:t>
      </w:r>
    </w:p>
    <w:p>
      <w:pPr>
        <w:spacing w:line="640" w:lineRule="exact"/>
        <w:ind w:firstLine="640" w:firstLineChars="200"/>
        <w:rPr>
          <w:rFonts w:hint="eastAsia" w:ascii="仿宋_GB2312" w:hAnsi="黑体" w:eastAsia="仿宋_GB2312"/>
          <w:sz w:val="32"/>
          <w:szCs w:val="32"/>
          <w:highlight w:val="none"/>
          <w:lang w:val="en-US" w:eastAsia="zh-CN"/>
        </w:rPr>
      </w:pPr>
      <w:r>
        <w:rPr>
          <w:rFonts w:hint="eastAsia" w:ascii="仿宋_GB2312" w:hAnsi="宋体" w:eastAsia="仿宋_GB2312"/>
          <w:sz w:val="32"/>
          <w:szCs w:val="32"/>
        </w:rPr>
        <w:t>对个人和家庭的补助1329800.00元，</w:t>
      </w:r>
      <w:r>
        <w:rPr>
          <w:rFonts w:hint="eastAsia" w:ascii="仿宋_GB2312" w:hAnsi="黑体" w:eastAsia="仿宋_GB2312"/>
          <w:sz w:val="32"/>
          <w:szCs w:val="32"/>
          <w:highlight w:val="none"/>
        </w:rPr>
        <w:t>比上年预算数</w:t>
      </w:r>
      <w:r>
        <w:rPr>
          <w:rFonts w:hint="eastAsia" w:ascii="仿宋_GB2312" w:hAnsi="黑体" w:eastAsia="仿宋_GB2312"/>
          <w:sz w:val="32"/>
          <w:szCs w:val="32"/>
          <w:highlight w:val="none"/>
          <w:lang w:eastAsia="zh-CN"/>
        </w:rPr>
        <w:t>增加</w:t>
      </w:r>
      <w:r>
        <w:rPr>
          <w:rFonts w:hint="eastAsia" w:ascii="仿宋_GB2312" w:hAnsi="黑体" w:eastAsia="仿宋_GB2312"/>
          <w:sz w:val="32"/>
          <w:szCs w:val="32"/>
          <w:highlight w:val="none"/>
          <w:lang w:val="en-US" w:eastAsia="zh-CN"/>
        </w:rPr>
        <w:t>100.8%。原因；残疾人生活补助增加。</w:t>
      </w:r>
    </w:p>
    <w:p>
      <w:pPr>
        <w:spacing w:line="640" w:lineRule="exact"/>
        <w:ind w:firstLine="640" w:firstLineChars="200"/>
        <w:rPr>
          <w:rFonts w:ascii="仿宋_GB2312" w:hAnsi="宋体" w:eastAsia="仿宋_GB2312"/>
          <w:sz w:val="32"/>
          <w:szCs w:val="32"/>
        </w:rPr>
      </w:pPr>
      <w:r>
        <w:rPr>
          <w:rFonts w:hint="eastAsia" w:ascii="仿宋_GB2312" w:hAnsi="黑体" w:eastAsia="仿宋_GB2312"/>
          <w:sz w:val="32"/>
          <w:szCs w:val="32"/>
        </w:rPr>
        <w:t>政</w:t>
      </w:r>
      <w:r>
        <w:rPr>
          <w:rFonts w:hint="eastAsia" w:ascii="仿宋_GB2312" w:hAnsi="宋体" w:eastAsia="仿宋_GB2312"/>
          <w:sz w:val="32"/>
          <w:szCs w:val="32"/>
        </w:rPr>
        <w:t>府性基金预算财政拨款</w:t>
      </w:r>
      <w:r>
        <w:rPr>
          <w:rFonts w:hint="eastAsia" w:ascii="仿宋_GB2312" w:hAnsi="宋体" w:eastAsia="仿宋_GB2312"/>
          <w:sz w:val="32"/>
          <w:szCs w:val="32"/>
          <w:lang w:val="en-US" w:eastAsia="zh-CN"/>
        </w:rPr>
        <w:t>支出</w:t>
      </w:r>
      <w:r>
        <w:rPr>
          <w:rFonts w:hint="eastAsia" w:ascii="仿宋_GB2312" w:hAnsi="宋体" w:eastAsia="仿宋_GB2312"/>
          <w:sz w:val="32"/>
          <w:szCs w:val="32"/>
        </w:rPr>
        <w:t>882200.00元</w:t>
      </w:r>
      <w:r>
        <w:rPr>
          <w:rFonts w:hint="eastAsia" w:ascii="仿宋_GB2312" w:hAnsi="宋体" w:eastAsia="仿宋_GB2312"/>
          <w:sz w:val="32"/>
          <w:szCs w:val="32"/>
          <w:highlight w:val="none"/>
        </w:rPr>
        <w:t>。</w:t>
      </w:r>
      <w:r>
        <w:rPr>
          <w:rFonts w:hint="eastAsia" w:ascii="仿宋_GB2312" w:hAnsi="黑体" w:eastAsia="仿宋_GB2312"/>
          <w:sz w:val="32"/>
          <w:szCs w:val="32"/>
          <w:highlight w:val="none"/>
        </w:rPr>
        <w:t>比上年预算数</w:t>
      </w:r>
      <w:r>
        <w:rPr>
          <w:rFonts w:hint="eastAsia" w:ascii="仿宋_GB2312" w:hAnsi="黑体" w:eastAsia="仿宋_GB2312"/>
          <w:sz w:val="32"/>
          <w:szCs w:val="32"/>
          <w:highlight w:val="none"/>
          <w:lang w:eastAsia="zh-CN"/>
        </w:rPr>
        <w:t>增加</w:t>
      </w:r>
      <w:r>
        <w:rPr>
          <w:rFonts w:hint="eastAsia" w:ascii="仿宋_GB2312" w:hAnsi="黑体" w:eastAsia="仿宋_GB2312"/>
          <w:sz w:val="32"/>
          <w:szCs w:val="32"/>
          <w:highlight w:val="none"/>
          <w:lang w:val="en-US" w:eastAsia="zh-CN"/>
        </w:rPr>
        <w:t>100%。原因；残疾人生活补助增加。</w:t>
      </w:r>
    </w:p>
    <w:p>
      <w:pPr>
        <w:spacing w:line="640" w:lineRule="exact"/>
        <w:ind w:firstLine="640" w:firstLineChars="200"/>
        <w:rPr>
          <w:rFonts w:ascii="仿宋_GB2312" w:hAnsi="黑体" w:eastAsia="仿宋_GB2312"/>
          <w:color w:val="FF0000"/>
          <w:sz w:val="32"/>
          <w:szCs w:val="32"/>
        </w:rPr>
      </w:pPr>
      <w:r>
        <w:rPr>
          <w:rFonts w:hint="eastAsia" w:ascii="黑体" w:hAnsi="黑体" w:eastAsia="黑体"/>
          <w:sz w:val="32"/>
          <w:szCs w:val="32"/>
        </w:rPr>
        <w:t>二、部门一般公共预算支出情况说明</w:t>
      </w:r>
    </w:p>
    <w:p>
      <w:pPr>
        <w:spacing w:line="640" w:lineRule="exact"/>
        <w:ind w:firstLine="643" w:firstLineChars="200"/>
        <w:rPr>
          <w:rFonts w:hint="default" w:ascii="仿宋_GB2312" w:hAnsi="宋体" w:eastAsia="仿宋_GB2312" w:cs="Times New Roman"/>
          <w:sz w:val="32"/>
          <w:szCs w:val="32"/>
          <w:lang w:val="en-US" w:eastAsia="zh-CN"/>
        </w:rPr>
      </w:pPr>
      <w:r>
        <w:rPr>
          <w:rFonts w:hint="eastAsia" w:ascii="楷体_GB2312" w:hAnsi="黑体" w:eastAsia="楷体_GB2312"/>
          <w:b/>
          <w:sz w:val="32"/>
          <w:szCs w:val="32"/>
        </w:rPr>
        <w:t>（一）</w:t>
      </w:r>
      <w:r>
        <w:rPr>
          <w:rFonts w:hint="eastAsia" w:ascii="仿宋_GB2312" w:hAnsi="宋体" w:eastAsia="仿宋_GB2312"/>
          <w:b/>
          <w:bCs/>
          <w:sz w:val="32"/>
          <w:szCs w:val="32"/>
        </w:rPr>
        <w:t>社会保障和就业支出</w:t>
      </w:r>
      <w:r>
        <w:rPr>
          <w:rFonts w:hint="eastAsia" w:ascii="仿宋_GB2312" w:hAnsi="宋体" w:eastAsia="仿宋_GB2312"/>
          <w:sz w:val="32"/>
          <w:szCs w:val="32"/>
        </w:rPr>
        <w:t>6011163.18</w:t>
      </w:r>
      <w:r>
        <w:rPr>
          <w:rFonts w:hint="eastAsia" w:ascii="仿宋_GB2312" w:hAnsi="黑体" w:eastAsia="仿宋_GB2312"/>
          <w:sz w:val="32"/>
          <w:szCs w:val="32"/>
        </w:rPr>
        <w:t>元</w:t>
      </w:r>
      <w:r>
        <w:rPr>
          <w:rFonts w:hint="eastAsia" w:ascii="仿宋_GB2312" w:hAnsi="黑体" w:eastAsia="仿宋_GB2312"/>
          <w:b/>
          <w:sz w:val="32"/>
          <w:szCs w:val="32"/>
          <w:lang w:val="en-US" w:eastAsia="zh-CN"/>
        </w:rPr>
        <w:t>，</w:t>
      </w:r>
      <w:r>
        <w:rPr>
          <w:rFonts w:hint="eastAsia" w:ascii="仿宋_GB2312" w:hAnsi="黑体" w:eastAsia="仿宋_GB2312"/>
          <w:sz w:val="32"/>
          <w:szCs w:val="32"/>
          <w:highlight w:val="none"/>
        </w:rPr>
        <w:t>比上年预算数</w:t>
      </w:r>
      <w:r>
        <w:rPr>
          <w:rFonts w:hint="eastAsia" w:ascii="仿宋_GB2312" w:hAnsi="黑体" w:eastAsia="仿宋_GB2312"/>
          <w:sz w:val="32"/>
          <w:szCs w:val="32"/>
          <w:highlight w:val="none"/>
          <w:lang w:eastAsia="zh-CN"/>
        </w:rPr>
        <w:t>增加</w:t>
      </w:r>
      <w:r>
        <w:rPr>
          <w:rFonts w:hint="eastAsia" w:ascii="仿宋_GB2312" w:hAnsi="黑体" w:eastAsia="仿宋_GB2312"/>
          <w:sz w:val="32"/>
          <w:szCs w:val="32"/>
          <w:highlight w:val="none"/>
          <w:lang w:val="en-US" w:eastAsia="zh-CN"/>
        </w:rPr>
        <w:t>29%。</w:t>
      </w:r>
      <w:r>
        <w:rPr>
          <w:rFonts w:hint="eastAsia" w:ascii="仿宋_GB2312" w:hAnsi="宋体" w:eastAsia="仿宋_GB2312" w:cs="Times New Roman"/>
          <w:sz w:val="32"/>
          <w:szCs w:val="32"/>
          <w:lang w:val="en-US" w:eastAsia="zh-CN"/>
        </w:rPr>
        <w:t>其原因是:</w:t>
      </w:r>
      <w:r>
        <w:rPr>
          <w:rFonts w:hint="eastAsia" w:ascii="仿宋_GB2312" w:hAnsi="黑体" w:eastAsia="仿宋_GB2312" w:cs="Times New Roman"/>
          <w:sz w:val="32"/>
          <w:szCs w:val="32"/>
          <w:lang w:val="en-US" w:eastAsia="zh-CN"/>
        </w:rPr>
        <w:t>养老保险基数增加。</w:t>
      </w:r>
    </w:p>
    <w:p>
      <w:pPr>
        <w:spacing w:line="640" w:lineRule="exact"/>
        <w:ind w:firstLine="643" w:firstLineChars="200"/>
        <w:rPr>
          <w:rFonts w:hint="default" w:ascii="仿宋_GB2312" w:hAnsi="黑体" w:eastAsia="仿宋_GB2312"/>
          <w:sz w:val="32"/>
          <w:szCs w:val="32"/>
          <w:highlight w:val="none"/>
          <w:lang w:val="en-US" w:eastAsia="zh-CN"/>
        </w:rPr>
      </w:pPr>
      <w:r>
        <w:rPr>
          <w:rFonts w:hint="eastAsia" w:ascii="仿宋_GB2312" w:hAnsi="黑体" w:eastAsia="仿宋_GB2312"/>
          <w:b/>
          <w:bCs/>
          <w:sz w:val="32"/>
          <w:szCs w:val="32"/>
          <w:highlight w:val="none"/>
          <w:lang w:val="en-US" w:eastAsia="zh-CN"/>
        </w:rPr>
        <w:t>（二）卫生健康支出</w:t>
      </w:r>
      <w:r>
        <w:rPr>
          <w:rFonts w:hint="eastAsia" w:ascii="仿宋_GB2312" w:hAnsi="黑体" w:eastAsia="仿宋_GB2312"/>
          <w:sz w:val="32"/>
          <w:szCs w:val="32"/>
          <w:highlight w:val="none"/>
          <w:lang w:val="en-US" w:eastAsia="zh-CN"/>
        </w:rPr>
        <w:t>198607.35元</w:t>
      </w:r>
      <w:r>
        <w:rPr>
          <w:rFonts w:hint="eastAsia" w:ascii="仿宋_GB2312" w:hAnsi="黑体" w:eastAsia="仿宋_GB2312"/>
          <w:b/>
          <w:sz w:val="32"/>
          <w:szCs w:val="32"/>
          <w:lang w:val="en-US" w:eastAsia="zh-CN"/>
        </w:rPr>
        <w:t>，</w:t>
      </w:r>
      <w:r>
        <w:rPr>
          <w:rFonts w:hint="eastAsia" w:ascii="仿宋_GB2312" w:hAnsi="黑体" w:eastAsia="仿宋_GB2312"/>
          <w:sz w:val="32"/>
          <w:szCs w:val="32"/>
          <w:highlight w:val="none"/>
        </w:rPr>
        <w:t>比上年预算数</w:t>
      </w:r>
      <w:r>
        <w:rPr>
          <w:rFonts w:hint="eastAsia" w:ascii="仿宋_GB2312" w:hAnsi="黑体" w:eastAsia="仿宋_GB2312"/>
          <w:sz w:val="32"/>
          <w:szCs w:val="32"/>
          <w:highlight w:val="none"/>
          <w:lang w:eastAsia="zh-CN"/>
        </w:rPr>
        <w:t>增加</w:t>
      </w:r>
      <w:r>
        <w:rPr>
          <w:rFonts w:hint="eastAsia" w:ascii="仿宋_GB2312" w:hAnsi="黑体" w:eastAsia="仿宋_GB2312"/>
          <w:sz w:val="32"/>
          <w:szCs w:val="32"/>
          <w:highlight w:val="none"/>
          <w:lang w:val="en-US" w:eastAsia="zh-CN"/>
        </w:rPr>
        <w:t>100%。</w:t>
      </w:r>
      <w:r>
        <w:rPr>
          <w:rFonts w:hint="eastAsia" w:ascii="仿宋_GB2312" w:hAnsi="宋体" w:eastAsia="仿宋_GB2312" w:cs="Times New Roman"/>
          <w:sz w:val="32"/>
          <w:szCs w:val="32"/>
          <w:lang w:val="en-US" w:eastAsia="zh-CN"/>
        </w:rPr>
        <w:t>其原因是:职工医疗保险支出</w:t>
      </w:r>
      <w:r>
        <w:rPr>
          <w:rFonts w:hint="eastAsia" w:ascii="仿宋_GB2312" w:hAnsi="黑体" w:eastAsia="仿宋_GB2312" w:cs="Times New Roman"/>
          <w:sz w:val="32"/>
          <w:szCs w:val="32"/>
          <w:lang w:val="en-US" w:eastAsia="zh-CN"/>
        </w:rPr>
        <w:t>科目调整。</w:t>
      </w:r>
    </w:p>
    <w:p>
      <w:pPr>
        <w:spacing w:line="640" w:lineRule="exact"/>
        <w:ind w:firstLine="643" w:firstLineChars="200"/>
        <w:rPr>
          <w:rFonts w:hint="eastAsia" w:ascii="仿宋_GB2312" w:hAnsi="黑体" w:eastAsia="仿宋_GB2312"/>
          <w:sz w:val="32"/>
          <w:szCs w:val="32"/>
          <w:highlight w:val="none"/>
          <w:lang w:val="en-US" w:eastAsia="zh-CN"/>
        </w:rPr>
      </w:pPr>
      <w:r>
        <w:rPr>
          <w:rFonts w:hint="eastAsia" w:ascii="仿宋_GB2312" w:hAnsi="黑体" w:eastAsia="仿宋_GB2312"/>
          <w:b/>
          <w:bCs/>
          <w:sz w:val="32"/>
          <w:szCs w:val="32"/>
          <w:highlight w:val="none"/>
          <w:lang w:val="en-US" w:eastAsia="zh-CN"/>
        </w:rPr>
        <w:t>（三）住房保障支出</w:t>
      </w:r>
      <w:r>
        <w:rPr>
          <w:rFonts w:hint="eastAsia" w:ascii="仿宋_GB2312" w:hAnsi="黑体" w:eastAsia="仿宋_GB2312"/>
          <w:sz w:val="32"/>
          <w:szCs w:val="32"/>
          <w:highlight w:val="none"/>
          <w:lang w:val="en-US" w:eastAsia="zh-CN"/>
        </w:rPr>
        <w:t>357886.80元</w:t>
      </w:r>
      <w:r>
        <w:rPr>
          <w:rFonts w:hint="eastAsia" w:ascii="仿宋_GB2312" w:hAnsi="黑体" w:eastAsia="仿宋_GB2312"/>
          <w:b/>
          <w:sz w:val="32"/>
          <w:szCs w:val="32"/>
          <w:lang w:val="en-US" w:eastAsia="zh-CN"/>
        </w:rPr>
        <w:t>，</w:t>
      </w:r>
      <w:r>
        <w:rPr>
          <w:rFonts w:hint="eastAsia" w:ascii="仿宋_GB2312" w:hAnsi="黑体" w:eastAsia="仿宋_GB2312"/>
          <w:sz w:val="32"/>
          <w:szCs w:val="32"/>
          <w:highlight w:val="none"/>
        </w:rPr>
        <w:t>比上年预算数</w:t>
      </w:r>
      <w:r>
        <w:rPr>
          <w:rFonts w:hint="eastAsia" w:ascii="仿宋_GB2312" w:hAnsi="黑体" w:eastAsia="仿宋_GB2312"/>
          <w:sz w:val="32"/>
          <w:szCs w:val="32"/>
          <w:highlight w:val="none"/>
          <w:lang w:eastAsia="zh-CN"/>
        </w:rPr>
        <w:t>增加</w:t>
      </w:r>
      <w:r>
        <w:rPr>
          <w:rFonts w:hint="eastAsia" w:ascii="仿宋_GB2312" w:hAnsi="黑体" w:eastAsia="仿宋_GB2312"/>
          <w:sz w:val="32"/>
          <w:szCs w:val="32"/>
          <w:highlight w:val="none"/>
          <w:lang w:val="en-US" w:eastAsia="zh-CN"/>
        </w:rPr>
        <w:t>100%。</w:t>
      </w:r>
      <w:r>
        <w:rPr>
          <w:rFonts w:hint="eastAsia" w:ascii="仿宋_GB2312" w:hAnsi="宋体" w:eastAsia="仿宋_GB2312" w:cs="Times New Roman"/>
          <w:sz w:val="32"/>
          <w:szCs w:val="32"/>
          <w:lang w:val="en-US" w:eastAsia="zh-CN"/>
        </w:rPr>
        <w:t>其原因是:公积金支出</w:t>
      </w:r>
      <w:r>
        <w:rPr>
          <w:rFonts w:hint="eastAsia" w:ascii="仿宋_GB2312" w:hAnsi="黑体" w:eastAsia="仿宋_GB2312" w:cs="Times New Roman"/>
          <w:sz w:val="32"/>
          <w:szCs w:val="32"/>
          <w:lang w:val="en-US" w:eastAsia="zh-CN"/>
        </w:rPr>
        <w:t>科目调整。</w:t>
      </w:r>
    </w:p>
    <w:p>
      <w:pPr>
        <w:spacing w:line="640" w:lineRule="exact"/>
        <w:ind w:firstLine="643" w:firstLineChars="200"/>
        <w:rPr>
          <w:rFonts w:hint="default" w:ascii="仿宋_GB2312" w:hAnsi="黑体" w:eastAsia="仿宋_GB2312"/>
          <w:sz w:val="32"/>
          <w:szCs w:val="32"/>
          <w:highlight w:val="none"/>
          <w:lang w:val="en-US" w:eastAsia="zh-CN"/>
        </w:rPr>
      </w:pPr>
      <w:r>
        <w:rPr>
          <w:rFonts w:hint="eastAsia" w:ascii="仿宋_GB2312" w:hAnsi="黑体" w:eastAsia="仿宋_GB2312"/>
          <w:b/>
          <w:bCs/>
          <w:sz w:val="32"/>
          <w:szCs w:val="32"/>
          <w:highlight w:val="none"/>
          <w:lang w:val="en-US" w:eastAsia="zh-CN"/>
        </w:rPr>
        <w:t>（四）其他支出</w:t>
      </w:r>
      <w:r>
        <w:rPr>
          <w:rFonts w:hint="eastAsia" w:ascii="仿宋_GB2312" w:hAnsi="黑体" w:eastAsia="仿宋_GB2312"/>
          <w:sz w:val="32"/>
          <w:szCs w:val="32"/>
          <w:highlight w:val="none"/>
          <w:lang w:val="en-US" w:eastAsia="zh-CN"/>
        </w:rPr>
        <w:t>882200.00元</w:t>
      </w:r>
      <w:r>
        <w:rPr>
          <w:rFonts w:hint="eastAsia" w:ascii="仿宋_GB2312" w:hAnsi="黑体" w:eastAsia="仿宋_GB2312"/>
          <w:b/>
          <w:sz w:val="32"/>
          <w:szCs w:val="32"/>
          <w:lang w:val="en-US" w:eastAsia="zh-CN"/>
        </w:rPr>
        <w:t>，</w:t>
      </w:r>
      <w:r>
        <w:rPr>
          <w:rFonts w:hint="eastAsia" w:ascii="仿宋_GB2312" w:hAnsi="黑体" w:eastAsia="仿宋_GB2312"/>
          <w:sz w:val="32"/>
          <w:szCs w:val="32"/>
          <w:highlight w:val="none"/>
        </w:rPr>
        <w:t>比上年预算数</w:t>
      </w:r>
      <w:r>
        <w:rPr>
          <w:rFonts w:hint="eastAsia" w:ascii="仿宋_GB2312" w:hAnsi="黑体" w:eastAsia="仿宋_GB2312"/>
          <w:sz w:val="32"/>
          <w:szCs w:val="32"/>
          <w:highlight w:val="none"/>
          <w:lang w:eastAsia="zh-CN"/>
        </w:rPr>
        <w:t>增加</w:t>
      </w:r>
      <w:r>
        <w:rPr>
          <w:rFonts w:hint="eastAsia" w:ascii="仿宋_GB2312" w:hAnsi="黑体" w:eastAsia="仿宋_GB2312"/>
          <w:sz w:val="32"/>
          <w:szCs w:val="32"/>
          <w:highlight w:val="none"/>
          <w:lang w:val="en-US" w:eastAsia="zh-CN"/>
        </w:rPr>
        <w:t>100%。原因；残疾人生活补助增加。</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三、部门一般公共预算基本支出情况说明</w:t>
      </w:r>
    </w:p>
    <w:p>
      <w:pPr>
        <w:spacing w:line="640" w:lineRule="exact"/>
        <w:ind w:firstLine="640" w:firstLineChars="200"/>
        <w:rPr>
          <w:highlight w:val="none"/>
        </w:rPr>
      </w:pPr>
      <w:r>
        <w:rPr>
          <w:rFonts w:hint="eastAsia" w:ascii="仿宋_GB2312" w:hAnsi="黑体" w:eastAsia="仿宋_GB2312"/>
          <w:sz w:val="32"/>
          <w:szCs w:val="32"/>
          <w:highlight w:val="none"/>
        </w:rPr>
        <w:t>2022年一般公共预算财政拨款基本支出</w:t>
      </w:r>
      <w:r>
        <w:rPr>
          <w:rFonts w:hint="eastAsia" w:ascii="仿宋_GB2312" w:hAnsi="宋体" w:eastAsia="仿宋_GB2312"/>
          <w:sz w:val="32"/>
          <w:szCs w:val="32"/>
          <w:highlight w:val="none"/>
          <w:lang w:val="en-US" w:eastAsia="zh-CN"/>
        </w:rPr>
        <w:t>5237857.33</w:t>
      </w:r>
      <w:r>
        <w:rPr>
          <w:rFonts w:hint="eastAsia" w:ascii="仿宋_GB2312" w:hAnsi="黑体" w:eastAsia="仿宋_GB2312"/>
          <w:sz w:val="32"/>
          <w:szCs w:val="32"/>
          <w:highlight w:val="none"/>
        </w:rPr>
        <w:t>元，比上年预算数</w:t>
      </w:r>
      <w:r>
        <w:rPr>
          <w:rFonts w:hint="eastAsia" w:ascii="仿宋_GB2312" w:hAnsi="宋体" w:eastAsia="仿宋_GB2312"/>
          <w:sz w:val="32"/>
          <w:szCs w:val="32"/>
          <w:highlight w:val="none"/>
          <w:lang w:val="en-US" w:eastAsia="zh-CN"/>
        </w:rPr>
        <w:t>增加15.7</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主要原因是人员工资增加。</w:t>
      </w:r>
      <w:r>
        <w:rPr>
          <w:rFonts w:hint="eastAsia" w:ascii="仿宋_GB2312" w:hAnsi="黑体" w:eastAsia="仿宋_GB2312"/>
          <w:sz w:val="32"/>
          <w:szCs w:val="32"/>
          <w:highlight w:val="none"/>
        </w:rPr>
        <w:t>其中：人员经费5129857.33元，</w:t>
      </w:r>
      <w:r>
        <w:rPr>
          <w:rFonts w:hint="eastAsia" w:ascii="仿宋_GB2312" w:hAnsi="黑体" w:eastAsia="仿宋_GB2312"/>
          <w:sz w:val="32"/>
          <w:szCs w:val="32"/>
          <w:highlight w:val="none"/>
          <w:lang w:val="en-US" w:eastAsia="zh-CN"/>
        </w:rPr>
        <w:t>比上年预算增加25.2%，</w:t>
      </w:r>
      <w:r>
        <w:rPr>
          <w:rFonts w:hint="eastAsia" w:ascii="仿宋_GB2312" w:hAnsi="宋体" w:eastAsia="仿宋_GB2312"/>
          <w:sz w:val="32"/>
          <w:szCs w:val="32"/>
          <w:highlight w:val="none"/>
          <w:lang w:val="en-US" w:eastAsia="zh-CN"/>
        </w:rPr>
        <w:t>主要原因是人员工资增加；</w:t>
      </w:r>
      <w:r>
        <w:rPr>
          <w:rFonts w:hint="eastAsia" w:ascii="仿宋_GB2312" w:hAnsi="黑体" w:eastAsia="仿宋_GB2312"/>
          <w:sz w:val="32"/>
          <w:szCs w:val="32"/>
          <w:highlight w:val="none"/>
        </w:rPr>
        <w:t>单位运转经费</w:t>
      </w:r>
      <w:r>
        <w:rPr>
          <w:rFonts w:hint="eastAsia" w:ascii="仿宋_GB2312" w:hAnsi="黑体" w:eastAsia="仿宋_GB2312"/>
          <w:sz w:val="32"/>
          <w:szCs w:val="32"/>
          <w:highlight w:val="none"/>
          <w:lang w:val="en-US" w:eastAsia="zh-CN"/>
        </w:rPr>
        <w:t>108000.00</w:t>
      </w:r>
      <w:r>
        <w:rPr>
          <w:rFonts w:hint="eastAsia" w:ascii="仿宋_GB2312" w:hAnsi="黑体" w:eastAsia="仿宋_GB2312"/>
          <w:sz w:val="32"/>
          <w:szCs w:val="32"/>
          <w:highlight w:val="none"/>
        </w:rPr>
        <w:t>元，</w:t>
      </w:r>
      <w:r>
        <w:rPr>
          <w:rFonts w:hint="eastAsia" w:ascii="仿宋_GB2312" w:hAnsi="宋体" w:eastAsia="仿宋_GB2312" w:cs="Times New Roman"/>
          <w:sz w:val="32"/>
          <w:szCs w:val="32"/>
          <w:lang w:val="en-US" w:eastAsia="zh-CN"/>
        </w:rPr>
        <w:t>比上年减少54</w:t>
      </w:r>
      <w:r>
        <w:rPr>
          <w:rFonts w:hint="eastAsia" w:ascii="仿宋_GB2312" w:hAnsi="宋体" w:eastAsia="仿宋_GB2312"/>
          <w:sz w:val="32"/>
          <w:szCs w:val="32"/>
          <w:highlight w:val="none"/>
        </w:rPr>
        <w:t>%</w:t>
      </w:r>
      <w:r>
        <w:rPr>
          <w:rFonts w:hint="eastAsia" w:ascii="仿宋_GB2312" w:hAnsi="宋体" w:eastAsia="仿宋_GB2312" w:cs="Times New Roman"/>
          <w:sz w:val="32"/>
          <w:szCs w:val="32"/>
          <w:lang w:val="en-US" w:eastAsia="zh-CN"/>
        </w:rPr>
        <w:t>，其原因是：运转经费减少。</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四、部门“三公”经费情况说明</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2022年“三公”经费预</w:t>
      </w:r>
      <w:r>
        <w:rPr>
          <w:rFonts w:hint="eastAsia" w:ascii="仿宋_GB2312" w:hAnsi="黑体" w:eastAsia="仿宋_GB2312"/>
          <w:sz w:val="32"/>
          <w:szCs w:val="32"/>
          <w:highlight w:val="none"/>
          <w:lang w:val="en-US" w:eastAsia="zh-CN"/>
        </w:rPr>
        <w:t>105000</w:t>
      </w:r>
      <w:r>
        <w:rPr>
          <w:rFonts w:hint="eastAsia" w:ascii="仿宋_GB2312" w:hAnsi="黑体" w:eastAsia="仿宋_GB2312"/>
          <w:sz w:val="32"/>
          <w:szCs w:val="32"/>
          <w:highlight w:val="none"/>
        </w:rPr>
        <w:t>元，比上年预算数</w:t>
      </w:r>
      <w:r>
        <w:rPr>
          <w:rFonts w:hint="eastAsia" w:ascii="仿宋_GB2312" w:hAnsi="黑体" w:eastAsia="仿宋_GB2312"/>
          <w:sz w:val="32"/>
          <w:szCs w:val="32"/>
          <w:highlight w:val="none"/>
          <w:lang w:val="en-US" w:eastAsia="zh-CN"/>
        </w:rPr>
        <w:t>增加100%</w:t>
      </w:r>
      <w:r>
        <w:rPr>
          <w:rFonts w:hint="eastAsia" w:ascii="仿宋_GB2312" w:hAnsi="黑体" w:eastAsia="仿宋_GB2312"/>
          <w:sz w:val="32"/>
          <w:szCs w:val="32"/>
          <w:highlight w:val="none"/>
        </w:rPr>
        <w:t>，主要原因是</w:t>
      </w:r>
      <w:r>
        <w:rPr>
          <w:rFonts w:hint="eastAsia" w:ascii="仿宋_GB2312" w:hAnsi="黑体" w:eastAsia="仿宋_GB2312"/>
          <w:sz w:val="32"/>
          <w:szCs w:val="32"/>
          <w:highlight w:val="none"/>
          <w:lang w:val="en-US" w:eastAsia="zh-CN"/>
        </w:rPr>
        <w:t>省级下达农村残疾人实用技术培训</w:t>
      </w:r>
      <w:r>
        <w:rPr>
          <w:rFonts w:hint="eastAsia" w:ascii="仿宋_GB2312" w:hAnsi="黑体" w:eastAsia="仿宋_GB2312"/>
          <w:sz w:val="32"/>
          <w:szCs w:val="32"/>
          <w:highlight w:val="none"/>
        </w:rPr>
        <w:t>。</w:t>
      </w:r>
    </w:p>
    <w:p>
      <w:pPr>
        <w:spacing w:line="640" w:lineRule="exact"/>
        <w:ind w:firstLine="643" w:firstLineChars="200"/>
        <w:rPr>
          <w:rFonts w:ascii="仿宋_GB2312" w:hAnsi="黑体" w:eastAsia="仿宋_GB2312"/>
          <w:color w:val="FF0000"/>
          <w:sz w:val="32"/>
          <w:szCs w:val="32"/>
          <w:highlight w:val="none"/>
        </w:rPr>
      </w:pPr>
      <w:r>
        <w:rPr>
          <w:rFonts w:hint="eastAsia" w:ascii="楷体_GB2312" w:hAnsi="黑体" w:eastAsia="楷体_GB2312"/>
          <w:b/>
          <w:sz w:val="32"/>
          <w:szCs w:val="32"/>
          <w:highlight w:val="none"/>
        </w:rPr>
        <w:t>（一）因公出国（境）费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元，比上年预算数减少</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val="en-US" w:eastAsia="zh-CN"/>
        </w:rPr>
        <w:t>无</w:t>
      </w:r>
      <w:r>
        <w:rPr>
          <w:rFonts w:hint="eastAsia" w:ascii="仿宋_GB2312" w:hAnsi="黑体" w:eastAsia="仿宋_GB2312"/>
          <w:sz w:val="32"/>
          <w:szCs w:val="32"/>
          <w:highlight w:val="none"/>
        </w:rPr>
        <w:t>变化情况。</w:t>
      </w:r>
    </w:p>
    <w:p>
      <w:pPr>
        <w:spacing w:line="640" w:lineRule="exact"/>
        <w:ind w:firstLine="643" w:firstLineChars="200"/>
        <w:rPr>
          <w:rFonts w:ascii="仿宋_GB2312" w:hAnsi="黑体" w:eastAsia="仿宋_GB2312"/>
          <w:color w:val="FF0000"/>
          <w:sz w:val="32"/>
          <w:szCs w:val="32"/>
          <w:highlight w:val="none"/>
        </w:rPr>
      </w:pPr>
      <w:r>
        <w:rPr>
          <w:rFonts w:hint="eastAsia" w:ascii="楷体_GB2312" w:hAnsi="黑体" w:eastAsia="楷体_GB2312"/>
          <w:b/>
          <w:sz w:val="32"/>
          <w:szCs w:val="32"/>
          <w:highlight w:val="none"/>
        </w:rPr>
        <w:t>（二）公务接待费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val="en-US" w:eastAsia="zh-CN"/>
        </w:rPr>
        <w:t>无</w:t>
      </w:r>
      <w:r>
        <w:rPr>
          <w:rFonts w:hint="eastAsia" w:ascii="仿宋_GB2312" w:hAnsi="黑体" w:eastAsia="仿宋_GB2312"/>
          <w:sz w:val="32"/>
          <w:szCs w:val="32"/>
          <w:highlight w:val="none"/>
        </w:rPr>
        <w:t>变化情况。</w:t>
      </w:r>
    </w:p>
    <w:p>
      <w:pPr>
        <w:spacing w:line="640" w:lineRule="exact"/>
        <w:ind w:firstLine="643" w:firstLineChars="200"/>
        <w:rPr>
          <w:rFonts w:ascii="仿宋_GB2312" w:hAnsi="黑体" w:eastAsia="仿宋_GB2312"/>
          <w:color w:val="FF0000"/>
          <w:sz w:val="32"/>
          <w:szCs w:val="32"/>
          <w:highlight w:val="none"/>
        </w:rPr>
      </w:pPr>
      <w:r>
        <w:rPr>
          <w:rFonts w:hint="eastAsia" w:ascii="楷体_GB2312" w:hAnsi="黑体" w:eastAsia="楷体_GB2312"/>
          <w:b/>
          <w:sz w:val="32"/>
          <w:szCs w:val="32"/>
          <w:highlight w:val="none"/>
        </w:rPr>
        <w:t>（三）公务用车购置和运行</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元，比上年预算数增加</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元，其中：公务用车购置费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val="en-US" w:eastAsia="zh-CN"/>
        </w:rPr>
        <w:t>无</w:t>
      </w:r>
      <w:r>
        <w:rPr>
          <w:rFonts w:hint="eastAsia" w:ascii="仿宋_GB2312" w:hAnsi="黑体" w:eastAsia="仿宋_GB2312"/>
          <w:sz w:val="32"/>
          <w:szCs w:val="32"/>
          <w:highlight w:val="none"/>
        </w:rPr>
        <w:t>变化情况；公务用车运行费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元，比上年预算数增长</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lang w:val="en-US" w:eastAsia="zh-CN"/>
        </w:rPr>
        <w:t>无</w:t>
      </w:r>
      <w:r>
        <w:rPr>
          <w:rFonts w:hint="eastAsia" w:ascii="仿宋_GB2312" w:hAnsi="黑体" w:eastAsia="仿宋_GB2312"/>
          <w:sz w:val="32"/>
          <w:szCs w:val="32"/>
          <w:highlight w:val="none"/>
        </w:rPr>
        <w:t>变化情况。</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color w:val="FF0000"/>
          <w:sz w:val="32"/>
          <w:szCs w:val="32"/>
          <w:highlight w:val="none"/>
        </w:rPr>
        <w:t xml:space="preserve"> </w:t>
      </w:r>
      <w:r>
        <w:rPr>
          <w:rFonts w:hint="eastAsia" w:ascii="楷体_GB2312" w:hAnsi="黑体" w:eastAsia="楷体_GB2312"/>
          <w:b/>
          <w:sz w:val="32"/>
          <w:szCs w:val="32"/>
          <w:highlight w:val="none"/>
        </w:rPr>
        <w:t>(四）会议费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元，比上年预算数减少</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元，减少</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lang w:val="en-US" w:eastAsia="zh-CN"/>
        </w:rPr>
        <w:t>无</w:t>
      </w:r>
      <w:r>
        <w:rPr>
          <w:rFonts w:hint="eastAsia" w:ascii="仿宋_GB2312" w:hAnsi="黑体" w:eastAsia="仿宋_GB2312"/>
          <w:sz w:val="32"/>
          <w:szCs w:val="32"/>
          <w:highlight w:val="none"/>
        </w:rPr>
        <w:t>变化情况。</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color w:val="FF0000"/>
          <w:sz w:val="32"/>
          <w:szCs w:val="32"/>
          <w:highlight w:val="none"/>
        </w:rPr>
        <w:t xml:space="preserve"> </w:t>
      </w:r>
      <w:r>
        <w:rPr>
          <w:rFonts w:hint="eastAsia" w:ascii="楷体_GB2312" w:hAnsi="黑体" w:eastAsia="楷体_GB2312"/>
          <w:b/>
          <w:sz w:val="32"/>
          <w:szCs w:val="32"/>
          <w:highlight w:val="none"/>
        </w:rPr>
        <w:t>(五) 培训费</w:t>
      </w:r>
      <w:r>
        <w:rPr>
          <w:rFonts w:hint="eastAsia" w:ascii="仿宋_GB2312" w:hAnsi="黑体" w:eastAsia="仿宋_GB2312"/>
          <w:sz w:val="32"/>
          <w:szCs w:val="32"/>
          <w:highlight w:val="none"/>
          <w:lang w:val="en-US" w:eastAsia="zh-CN"/>
        </w:rPr>
        <w:t>105000</w:t>
      </w:r>
      <w:r>
        <w:rPr>
          <w:rFonts w:hint="eastAsia" w:ascii="仿宋_GB2312" w:hAnsi="黑体" w:eastAsia="仿宋_GB2312"/>
          <w:sz w:val="32"/>
          <w:szCs w:val="32"/>
          <w:highlight w:val="none"/>
        </w:rPr>
        <w:t>元，比上年预算数</w:t>
      </w:r>
      <w:r>
        <w:rPr>
          <w:rFonts w:hint="eastAsia" w:ascii="仿宋_GB2312" w:hAnsi="黑体" w:eastAsia="仿宋_GB2312"/>
          <w:sz w:val="32"/>
          <w:szCs w:val="32"/>
          <w:highlight w:val="none"/>
          <w:lang w:val="en-US" w:eastAsia="zh-CN"/>
        </w:rPr>
        <w:t>增加105000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val="en-US" w:eastAsia="zh-CN"/>
        </w:rPr>
        <w:t>增加100</w:t>
      </w: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rPr>
        <w:t>主要原因是</w:t>
      </w:r>
      <w:r>
        <w:rPr>
          <w:rFonts w:hint="eastAsia" w:ascii="仿宋_GB2312" w:hAnsi="黑体" w:eastAsia="仿宋_GB2312"/>
          <w:sz w:val="32"/>
          <w:szCs w:val="32"/>
          <w:highlight w:val="none"/>
          <w:lang w:val="en-US" w:eastAsia="zh-CN"/>
        </w:rPr>
        <w:t>省级下达农村残疾人实用技术培训</w:t>
      </w:r>
      <w:r>
        <w:rPr>
          <w:rFonts w:hint="eastAsia" w:ascii="仿宋_GB2312" w:hAnsi="黑体" w:eastAsia="仿宋_GB2312"/>
          <w:sz w:val="32"/>
          <w:szCs w:val="32"/>
          <w:highlight w:val="none"/>
        </w:rPr>
        <w:t>。</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五、部门机关运行经费及政府采购预算情况说明</w:t>
      </w:r>
    </w:p>
    <w:p>
      <w:pPr>
        <w:spacing w:line="640" w:lineRule="exact"/>
        <w:ind w:firstLine="640" w:firstLineChars="200"/>
        <w:rPr>
          <w:rFonts w:ascii="仿宋_GB2312" w:hAnsi="黑体" w:eastAsia="仿宋_GB2312"/>
          <w:b/>
          <w:sz w:val="44"/>
          <w:szCs w:val="44"/>
        </w:rPr>
      </w:pPr>
      <w:r>
        <w:rPr>
          <w:rFonts w:hint="eastAsia" w:ascii="仿宋_GB2312" w:hAnsi="黑体" w:eastAsia="仿宋_GB2312"/>
          <w:sz w:val="32"/>
          <w:szCs w:val="32"/>
          <w:highlight w:val="none"/>
        </w:rPr>
        <w:t>2022年机关运行经费预算</w:t>
      </w:r>
      <w:r>
        <w:rPr>
          <w:rFonts w:hint="eastAsia" w:ascii="仿宋_GB2312" w:hAnsi="黑体" w:eastAsia="仿宋_GB2312"/>
          <w:sz w:val="32"/>
          <w:szCs w:val="32"/>
          <w:highlight w:val="none"/>
          <w:lang w:val="en-US" w:eastAsia="zh-CN"/>
        </w:rPr>
        <w:t>108000</w:t>
      </w:r>
      <w:r>
        <w:rPr>
          <w:rFonts w:hint="eastAsia" w:ascii="仿宋_GB2312" w:hAnsi="黑体" w:eastAsia="仿宋_GB2312"/>
          <w:sz w:val="32"/>
          <w:szCs w:val="32"/>
          <w:highlight w:val="none"/>
        </w:rPr>
        <w:t>元，比上年预算数</w:t>
      </w:r>
      <w:r>
        <w:rPr>
          <w:rFonts w:hint="eastAsia" w:ascii="仿宋_GB2312" w:hAnsi="黑体" w:eastAsia="仿宋_GB2312"/>
          <w:sz w:val="32"/>
          <w:szCs w:val="32"/>
          <w:highlight w:val="none"/>
          <w:lang w:val="en-US" w:eastAsia="zh-CN"/>
        </w:rPr>
        <w:t>减少60000</w:t>
      </w:r>
      <w:r>
        <w:rPr>
          <w:rFonts w:hint="eastAsia" w:ascii="仿宋_GB2312" w:hAnsi="黑体" w:eastAsia="仿宋_GB2312"/>
          <w:sz w:val="32"/>
          <w:szCs w:val="32"/>
          <w:highlight w:val="none"/>
        </w:rPr>
        <w:t>元。政府采购预算</w:t>
      </w:r>
      <w:r>
        <w:rPr>
          <w:rFonts w:hint="eastAsia" w:ascii="仿宋_GB2312" w:hAnsi="黑体" w:eastAsia="仿宋_GB2312"/>
          <w:sz w:val="32"/>
          <w:szCs w:val="32"/>
          <w:highlight w:val="none"/>
          <w:lang w:val="en-US" w:eastAsia="zh-CN"/>
        </w:rPr>
        <w:t>21000</w:t>
      </w:r>
      <w:r>
        <w:rPr>
          <w:rFonts w:hint="eastAsia" w:ascii="仿宋_GB2312" w:hAnsi="黑体" w:eastAsia="仿宋_GB2312"/>
          <w:sz w:val="32"/>
          <w:szCs w:val="32"/>
          <w:highlight w:val="none"/>
        </w:rPr>
        <w:t>元，比上年预算数</w:t>
      </w:r>
      <w:r>
        <w:rPr>
          <w:rFonts w:hint="eastAsia" w:ascii="仿宋_GB2312" w:hAnsi="黑体" w:eastAsia="仿宋_GB2312"/>
          <w:sz w:val="32"/>
          <w:szCs w:val="32"/>
          <w:highlight w:val="none"/>
          <w:lang w:val="en-US" w:eastAsia="zh-CN"/>
        </w:rPr>
        <w:t>减少39000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val="en-US" w:eastAsia="zh-CN"/>
        </w:rPr>
        <w:t>减少65</w:t>
      </w:r>
      <w:r>
        <w:rPr>
          <w:rFonts w:hint="eastAsia" w:ascii="仿宋_GB2312" w:hAnsi="黑体" w:eastAsia="仿宋_GB2312"/>
          <w:sz w:val="32"/>
          <w:szCs w:val="32"/>
          <w:highlight w:val="none"/>
        </w:rPr>
        <w:t>%，主要是</w:t>
      </w:r>
      <w:bookmarkStart w:id="0" w:name="_GoBack"/>
      <w:bookmarkEnd w:id="0"/>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val="en-US" w:eastAsia="zh-CN"/>
        </w:rPr>
        <w:t>公用经费和运转经费减少</w:t>
      </w:r>
      <w:r>
        <w:rPr>
          <w:rFonts w:hint="eastAsia" w:ascii="仿宋_GB2312" w:hAnsi="黑体" w:eastAsia="仿宋_GB2312"/>
          <w:sz w:val="32"/>
          <w:szCs w:val="32"/>
          <w:highlight w:val="none"/>
        </w:rPr>
        <w:t>，其中：政府采购货物预算</w:t>
      </w:r>
      <w:r>
        <w:rPr>
          <w:rFonts w:hint="eastAsia" w:ascii="仿宋_GB2312" w:hAnsi="黑体" w:eastAsia="仿宋_GB2312"/>
          <w:sz w:val="32"/>
          <w:szCs w:val="32"/>
          <w:highlight w:val="none"/>
          <w:lang w:val="en-US" w:eastAsia="zh-CN"/>
        </w:rPr>
        <w:t>21000</w:t>
      </w:r>
      <w:r>
        <w:rPr>
          <w:rFonts w:hint="eastAsia" w:ascii="仿宋_GB2312" w:hAnsi="黑体" w:eastAsia="仿宋_GB2312"/>
          <w:sz w:val="32"/>
          <w:szCs w:val="32"/>
          <w:highlight w:val="none"/>
        </w:rPr>
        <w:t>元，政府采购工程预算</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元，政府采购服务预算</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p>
    <w:p>
      <w:pPr>
        <w:spacing w:line="840" w:lineRule="exact"/>
        <w:jc w:val="center"/>
        <w:rPr>
          <w:rFonts w:ascii="仿宋_GB2312" w:hAnsi="黑体" w:eastAsia="仿宋_GB2312"/>
          <w:sz w:val="32"/>
          <w:szCs w:val="32"/>
        </w:rPr>
      </w:pPr>
      <w:r>
        <w:rPr>
          <w:rFonts w:hint="eastAsia" w:ascii="仿宋_GB2312" w:hAnsi="黑体" w:eastAsia="仿宋_GB2312"/>
          <w:b/>
          <w:sz w:val="52"/>
          <w:szCs w:val="52"/>
        </w:rPr>
        <w:t>第四部分  名词解释</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（一）财政拨款收入：</w:t>
      </w:r>
      <w:r>
        <w:rPr>
          <w:rFonts w:ascii="仿宋_GB2312" w:hAnsi="黑体" w:eastAsia="仿宋_GB2312"/>
          <w:sz w:val="32"/>
          <w:szCs w:val="32"/>
        </w:rPr>
        <w:t>指由</w:t>
      </w:r>
      <w:r>
        <w:rPr>
          <w:rFonts w:hint="eastAsia" w:ascii="仿宋_GB2312" w:hAnsi="黑体" w:eastAsia="仿宋_GB2312"/>
          <w:sz w:val="32"/>
          <w:szCs w:val="32"/>
        </w:rPr>
        <w:t>县级</w:t>
      </w:r>
      <w:r>
        <w:rPr>
          <w:rFonts w:ascii="仿宋_GB2312" w:hAnsi="黑体" w:eastAsia="仿宋_GB2312"/>
          <w:sz w:val="32"/>
          <w:szCs w:val="32"/>
        </w:rPr>
        <w:t>财政拨款形成的部门收入。按照现行预算管理制度，</w:t>
      </w:r>
      <w:r>
        <w:rPr>
          <w:rFonts w:hint="eastAsia" w:ascii="仿宋_GB2312" w:hAnsi="黑体" w:eastAsia="仿宋_GB2312"/>
          <w:sz w:val="32"/>
          <w:szCs w:val="32"/>
        </w:rPr>
        <w:t>县级</w:t>
      </w:r>
      <w:r>
        <w:rPr>
          <w:rFonts w:ascii="仿宋_GB2312" w:hAnsi="黑体" w:eastAsia="仿宋_GB2312"/>
          <w:sz w:val="32"/>
          <w:szCs w:val="32"/>
        </w:rPr>
        <w:t>部门预算中反映的财政拨款包括一般公共预算财政拨款和政府性基金预算财政拨款。</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（二）上年结转：</w:t>
      </w:r>
      <w:r>
        <w:rPr>
          <w:rFonts w:ascii="仿宋_GB2312" w:hAnsi="黑体" w:eastAsia="仿宋_GB2312"/>
          <w:sz w:val="32"/>
          <w:szCs w:val="32"/>
        </w:rPr>
        <w:t>指部门和单位以前年度尚未完成，结转到本年度按有关规定继续使用的资金。</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（三）基本支出：</w:t>
      </w:r>
      <w:r>
        <w:rPr>
          <w:rFonts w:ascii="仿宋_GB2312" w:hAnsi="黑体" w:eastAsia="仿宋_GB2312"/>
          <w:sz w:val="32"/>
          <w:szCs w:val="32"/>
        </w:rPr>
        <w:t>指为保障机构正常运转、完成日常工作任务而发生的人员支出和公用支出。</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（四）项目支出：</w:t>
      </w:r>
      <w:r>
        <w:rPr>
          <w:rFonts w:ascii="仿宋_GB2312" w:hAnsi="黑体" w:eastAsia="仿宋_GB2312"/>
          <w:sz w:val="32"/>
          <w:szCs w:val="32"/>
        </w:rPr>
        <w:t>指在基本支出之外为完成特定行政任务和事业发展目标所发生的支出。</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（五）三公经费：</w:t>
      </w:r>
      <w:r>
        <w:rPr>
          <w:rFonts w:ascii="仿宋_GB2312" w:hAnsi="黑体" w:eastAsia="仿宋_GB2312"/>
          <w:sz w:val="32"/>
          <w:szCs w:val="32"/>
        </w:rPr>
        <w:t>是指</w:t>
      </w:r>
      <w:r>
        <w:rPr>
          <w:rFonts w:hint="eastAsia" w:ascii="仿宋_GB2312" w:hAnsi="黑体" w:eastAsia="仿宋_GB2312"/>
          <w:sz w:val="32"/>
          <w:szCs w:val="32"/>
        </w:rPr>
        <w:t>县级</w:t>
      </w:r>
      <w:r>
        <w:rPr>
          <w:rFonts w:ascii="仿宋_GB2312" w:hAnsi="黑体" w:eastAsia="仿宋_GB2312"/>
          <w:sz w:val="32"/>
          <w:szCs w:val="32"/>
        </w:rPr>
        <w:t>部门用财政拨款安排的因公出国（境）费，公务接待费</w:t>
      </w:r>
      <w:r>
        <w:rPr>
          <w:rFonts w:hint="eastAsia" w:ascii="仿宋_GB2312" w:hAnsi="黑体" w:eastAsia="仿宋_GB2312"/>
          <w:sz w:val="32"/>
          <w:szCs w:val="32"/>
        </w:rPr>
        <w:t>，</w:t>
      </w:r>
      <w:r>
        <w:rPr>
          <w:rFonts w:ascii="仿宋_GB2312" w:hAnsi="黑体" w:eastAsia="仿宋_GB2312"/>
          <w:sz w:val="32"/>
          <w:szCs w:val="32"/>
        </w:rPr>
        <w:t>公务用车购置及运行费。</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（六）机关运行经费：</w:t>
      </w:r>
      <w:r>
        <w:rPr>
          <w:rFonts w:ascii="仿宋_GB2312" w:hAnsi="黑体"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仿宋_GB2312" w:hAnsi="黑体" w:eastAsia="仿宋_GB2312"/>
          <w:sz w:val="32"/>
          <w:szCs w:val="32"/>
        </w:rPr>
      </w:pPr>
    </w:p>
    <w:p>
      <w:pPr>
        <w:ind w:firstLine="643" w:firstLineChars="200"/>
        <w:jc w:val="center"/>
        <w:rPr>
          <w:rFonts w:ascii="仿宋_GB2312" w:hAnsi="黑体" w:eastAsia="仿宋_GB2312"/>
          <w:b/>
          <w:bCs/>
          <w:sz w:val="32"/>
          <w:szCs w:val="32"/>
        </w:rPr>
      </w:pPr>
      <w:r>
        <w:rPr>
          <w:rFonts w:hint="eastAsia" w:ascii="仿宋_GB2312" w:hAnsi="黑体" w:eastAsia="仿宋_GB2312"/>
          <w:b/>
          <w:bCs/>
          <w:sz w:val="32"/>
          <w:szCs w:val="32"/>
        </w:rPr>
        <w:t>填表说明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1.本参照表样是严格按照财政部和省财政厅部门预算公开的要求设计的，已经删减了一些比较复杂的内容，能简化的已经尽可能简化，各部门必须严格按本表样公开。</w:t>
      </w:r>
    </w:p>
    <w:p>
      <w:pPr>
        <w:ind w:firstLine="640" w:firstLineChars="200"/>
        <w:rPr>
          <w:rFonts w:ascii="仿宋_GB2312" w:hAnsi="黑体" w:eastAsia="仿宋_GB2312"/>
          <w:sz w:val="32"/>
          <w:szCs w:val="32"/>
        </w:rPr>
      </w:pPr>
      <w:r>
        <w:rPr>
          <w:rFonts w:hint="eastAsia" w:ascii="仿宋_GB2312" w:hAnsi="黑体" w:eastAsia="仿宋_GB2312"/>
          <w:sz w:val="32"/>
          <w:szCs w:val="32"/>
        </w:rPr>
        <w:t>2.使用部门预算公开参照表样，说明中填列的当年预算数，必须与公开表格数据一致，使用上年预算数计算增减额和增减百分比，必须准确无误，使用上年预算数必须与上年公开数据一致，避免因数据不一致带来不必要的问题。</w:t>
      </w:r>
    </w:p>
    <w:p>
      <w:pPr>
        <w:ind w:firstLine="640"/>
        <w:rPr>
          <w:rFonts w:ascii="仿宋_GB2312" w:hAnsi="黑体" w:eastAsia="仿宋_GB2312"/>
          <w:sz w:val="32"/>
          <w:szCs w:val="32"/>
        </w:rPr>
      </w:pPr>
      <w:r>
        <w:rPr>
          <w:rFonts w:hint="eastAsia" w:ascii="仿宋_GB2312" w:hAnsi="黑体" w:eastAsia="仿宋_GB2312"/>
          <w:sz w:val="32"/>
          <w:szCs w:val="32"/>
        </w:rPr>
        <w:t>3.参照表样中标红的内容以及本页内容，是对部门在编写公开说明时的一些提示，说明完成后，标红内容全部删除。</w:t>
      </w:r>
    </w:p>
    <w:p>
      <w:pPr>
        <w:ind w:firstLine="640"/>
        <w:rPr>
          <w:rFonts w:ascii="仿宋_GB2312" w:hAnsi="黑体" w:eastAsia="仿宋_GB2312"/>
          <w:sz w:val="32"/>
          <w:szCs w:val="32"/>
        </w:rPr>
      </w:pPr>
      <w:r>
        <w:rPr>
          <w:rFonts w:hint="eastAsia" w:ascii="仿宋_GB2312" w:hAnsi="黑体" w:eastAsia="仿宋_GB2312"/>
          <w:sz w:val="32"/>
          <w:szCs w:val="32"/>
        </w:rPr>
        <w:t>4.各业务股室在审核各部门上报的部门预算公开资料中，必须注意：预算公开表格是否齐全（空表也必须公开并说明无此项支出）、数据是否准确，表格中是否有**等容易引起歧义的字符（去年省财政厅检查组对此已提出异议）；公开说明是否规范齐全，是否按类款项详细说明，是否存在省略号、不必要的括号、提示的红字等未删除的东西。</w:t>
      </w:r>
    </w:p>
    <w:sectPr>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A608F5"/>
    <w:multiLevelType w:val="multilevel"/>
    <w:tmpl w:val="51A608F5"/>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4M2Q4Mzg0MmZmMWNiZDI4MmU3MTUyN2Q5YzZmOTYifQ=="/>
  </w:docVars>
  <w:rsids>
    <w:rsidRoot w:val="005B7BC1"/>
    <w:rsid w:val="0003745A"/>
    <w:rsid w:val="00040BCD"/>
    <w:rsid w:val="000635F4"/>
    <w:rsid w:val="0007134C"/>
    <w:rsid w:val="0008140C"/>
    <w:rsid w:val="000D6DF6"/>
    <w:rsid w:val="00177759"/>
    <w:rsid w:val="001B1C65"/>
    <w:rsid w:val="001C1A02"/>
    <w:rsid w:val="001E4A08"/>
    <w:rsid w:val="00214A31"/>
    <w:rsid w:val="00242CF2"/>
    <w:rsid w:val="002E18D8"/>
    <w:rsid w:val="002F60F3"/>
    <w:rsid w:val="00311351"/>
    <w:rsid w:val="0032725E"/>
    <w:rsid w:val="00394CB3"/>
    <w:rsid w:val="003C6C02"/>
    <w:rsid w:val="003F4675"/>
    <w:rsid w:val="004065F3"/>
    <w:rsid w:val="00426E7F"/>
    <w:rsid w:val="004D7269"/>
    <w:rsid w:val="0054600D"/>
    <w:rsid w:val="0055484E"/>
    <w:rsid w:val="005A73EE"/>
    <w:rsid w:val="005B7BC1"/>
    <w:rsid w:val="005D203F"/>
    <w:rsid w:val="005E54B6"/>
    <w:rsid w:val="005F2AE1"/>
    <w:rsid w:val="005F5BDC"/>
    <w:rsid w:val="00646AEB"/>
    <w:rsid w:val="00666618"/>
    <w:rsid w:val="006735BA"/>
    <w:rsid w:val="006956AB"/>
    <w:rsid w:val="006A6616"/>
    <w:rsid w:val="006D45CE"/>
    <w:rsid w:val="006E0D73"/>
    <w:rsid w:val="00721BBD"/>
    <w:rsid w:val="007926A3"/>
    <w:rsid w:val="007A4BFC"/>
    <w:rsid w:val="007D20F6"/>
    <w:rsid w:val="00805E3C"/>
    <w:rsid w:val="0081299C"/>
    <w:rsid w:val="0086585A"/>
    <w:rsid w:val="008A308B"/>
    <w:rsid w:val="009A1F81"/>
    <w:rsid w:val="009F1F5C"/>
    <w:rsid w:val="00A039E4"/>
    <w:rsid w:val="00A55333"/>
    <w:rsid w:val="00AE2AA5"/>
    <w:rsid w:val="00B37D63"/>
    <w:rsid w:val="00B67550"/>
    <w:rsid w:val="00B7120D"/>
    <w:rsid w:val="00B97330"/>
    <w:rsid w:val="00BD2423"/>
    <w:rsid w:val="00C469FC"/>
    <w:rsid w:val="00CA41AB"/>
    <w:rsid w:val="00CB5559"/>
    <w:rsid w:val="00CC2B7C"/>
    <w:rsid w:val="00CF06A6"/>
    <w:rsid w:val="00DE66F0"/>
    <w:rsid w:val="00E0384C"/>
    <w:rsid w:val="00E075CD"/>
    <w:rsid w:val="00E265F4"/>
    <w:rsid w:val="00E46B0B"/>
    <w:rsid w:val="00E760B0"/>
    <w:rsid w:val="00E920D8"/>
    <w:rsid w:val="00E94B79"/>
    <w:rsid w:val="00EA085C"/>
    <w:rsid w:val="00F00669"/>
    <w:rsid w:val="00F3279B"/>
    <w:rsid w:val="00F42002"/>
    <w:rsid w:val="00F67610"/>
    <w:rsid w:val="00F9776C"/>
    <w:rsid w:val="029802B0"/>
    <w:rsid w:val="047D2F82"/>
    <w:rsid w:val="060021DC"/>
    <w:rsid w:val="064D410C"/>
    <w:rsid w:val="06746E88"/>
    <w:rsid w:val="06BE6228"/>
    <w:rsid w:val="07EA6CFD"/>
    <w:rsid w:val="0A116753"/>
    <w:rsid w:val="0B896034"/>
    <w:rsid w:val="0D824E94"/>
    <w:rsid w:val="0E6F37D9"/>
    <w:rsid w:val="112936A0"/>
    <w:rsid w:val="12363F78"/>
    <w:rsid w:val="1250416D"/>
    <w:rsid w:val="13A46379"/>
    <w:rsid w:val="13B82E0D"/>
    <w:rsid w:val="141D039C"/>
    <w:rsid w:val="17432B85"/>
    <w:rsid w:val="1909264A"/>
    <w:rsid w:val="198119BE"/>
    <w:rsid w:val="1B78482C"/>
    <w:rsid w:val="1C6D1D31"/>
    <w:rsid w:val="1D654F62"/>
    <w:rsid w:val="204B1966"/>
    <w:rsid w:val="205A7194"/>
    <w:rsid w:val="206F0CAA"/>
    <w:rsid w:val="210F4887"/>
    <w:rsid w:val="22273516"/>
    <w:rsid w:val="2233056C"/>
    <w:rsid w:val="23513756"/>
    <w:rsid w:val="250F1490"/>
    <w:rsid w:val="292A0545"/>
    <w:rsid w:val="2A7A5C2D"/>
    <w:rsid w:val="2B26350E"/>
    <w:rsid w:val="2B5C1C56"/>
    <w:rsid w:val="2BCF3D4E"/>
    <w:rsid w:val="2D550DF7"/>
    <w:rsid w:val="2DBA0562"/>
    <w:rsid w:val="301867DA"/>
    <w:rsid w:val="31352995"/>
    <w:rsid w:val="31C412CD"/>
    <w:rsid w:val="32A96D1A"/>
    <w:rsid w:val="33765B2F"/>
    <w:rsid w:val="34032DB0"/>
    <w:rsid w:val="34B82D6F"/>
    <w:rsid w:val="373703E1"/>
    <w:rsid w:val="37580FE7"/>
    <w:rsid w:val="396616D2"/>
    <w:rsid w:val="39A71DAE"/>
    <w:rsid w:val="3D8C4411"/>
    <w:rsid w:val="3ED2054D"/>
    <w:rsid w:val="40465DD0"/>
    <w:rsid w:val="40CC1D5D"/>
    <w:rsid w:val="416268DB"/>
    <w:rsid w:val="452F6292"/>
    <w:rsid w:val="47AF499B"/>
    <w:rsid w:val="48277B34"/>
    <w:rsid w:val="484D612A"/>
    <w:rsid w:val="48A9072C"/>
    <w:rsid w:val="4D903B41"/>
    <w:rsid w:val="4DA8126D"/>
    <w:rsid w:val="4DD72226"/>
    <w:rsid w:val="4EA300AE"/>
    <w:rsid w:val="50622DD8"/>
    <w:rsid w:val="51C77E42"/>
    <w:rsid w:val="52D55C9B"/>
    <w:rsid w:val="54032FCF"/>
    <w:rsid w:val="54B1376D"/>
    <w:rsid w:val="56311F34"/>
    <w:rsid w:val="564548F7"/>
    <w:rsid w:val="565305B1"/>
    <w:rsid w:val="56C73340"/>
    <w:rsid w:val="59441D15"/>
    <w:rsid w:val="5A3206F2"/>
    <w:rsid w:val="5B9C1887"/>
    <w:rsid w:val="5DBD3573"/>
    <w:rsid w:val="61EF1B1B"/>
    <w:rsid w:val="621A3658"/>
    <w:rsid w:val="62B62979"/>
    <w:rsid w:val="632601D2"/>
    <w:rsid w:val="64252B6E"/>
    <w:rsid w:val="651520BC"/>
    <w:rsid w:val="661A6258"/>
    <w:rsid w:val="6A136FDE"/>
    <w:rsid w:val="6A752B54"/>
    <w:rsid w:val="6C3A78FF"/>
    <w:rsid w:val="6EA6456E"/>
    <w:rsid w:val="6F8E5A41"/>
    <w:rsid w:val="74517818"/>
    <w:rsid w:val="74E1661C"/>
    <w:rsid w:val="75840CDB"/>
    <w:rsid w:val="75FA50B5"/>
    <w:rsid w:val="77781E83"/>
    <w:rsid w:val="78062181"/>
    <w:rsid w:val="794965D5"/>
    <w:rsid w:val="79D61FC6"/>
    <w:rsid w:val="7A802088"/>
    <w:rsid w:val="7CAF663E"/>
    <w:rsid w:val="7CF82ADB"/>
    <w:rsid w:val="7F2E2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unhideWhenUsed/>
    <w:qFormat/>
    <w:uiPriority w:val="99"/>
    <w:pPr>
      <w:spacing w:after="120" w:afterLines="0" w:line="480" w:lineRule="auto"/>
      <w:ind w:left="420" w:leftChars="200"/>
    </w:pPr>
  </w:style>
  <w:style w:type="paragraph" w:styleId="3">
    <w:name w:val="Date"/>
    <w:basedOn w:val="1"/>
    <w:next w:val="1"/>
    <w:qFormat/>
    <w:uiPriority w:val="0"/>
    <w:pPr>
      <w:ind w:left="100" w:leftChars="2500"/>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Hyperlink"/>
    <w:qFormat/>
    <w:uiPriority w:val="0"/>
    <w:rPr>
      <w:color w:val="0000FF"/>
      <w:u w:val="single"/>
    </w:rPr>
  </w:style>
  <w:style w:type="character" w:customStyle="1" w:styleId="11">
    <w:name w:val="页眉 Char"/>
    <w:link w:val="5"/>
    <w:qFormat/>
    <w:uiPriority w:val="0"/>
    <w:rPr>
      <w:kern w:val="2"/>
      <w:sz w:val="18"/>
      <w:szCs w:val="18"/>
    </w:rPr>
  </w:style>
  <w:style w:type="character" w:customStyle="1" w:styleId="12">
    <w:name w:val="页脚 Char"/>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12</Pages>
  <Words>2716</Words>
  <Characters>3040</Characters>
  <Lines>16</Lines>
  <Paragraphs>4</Paragraphs>
  <TotalTime>1</TotalTime>
  <ScaleCrop>false</ScaleCrop>
  <LinksUpToDate>false</LinksUpToDate>
  <CharactersWithSpaces>3160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2017-03-15T03:43:00Z</dcterms:created>
  <dc:creator>Windows 用户</dc:creator>
  <cp:lastModifiedBy>Administrator</cp:lastModifiedBy>
  <cp:lastPrinted>2022-08-17T07:30:00Z</cp:lastPrinted>
  <dcterms:modified xsi:type="dcterms:W3CDTF">2023-06-08T02:23:56Z</dcterms:modified>
  <dc:title>临夏回族自治州**局部门预算（此处请用单位全称，居中）</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8B791E3742A24B55BBA6AD2EBC7EF314_13</vt:lpwstr>
  </property>
</Properties>
</file>