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hint="eastAsia" w:ascii="楷体" w:hAnsi="楷体" w:eastAsia="方正小标宋简体"/>
          <w:sz w:val="30"/>
          <w:szCs w:val="30"/>
          <w:highlight w:val="none"/>
          <w:lang w:eastAsia="zh-CN"/>
        </w:rPr>
      </w:pPr>
      <w:r>
        <w:rPr>
          <w:rFonts w:hint="eastAsia" w:ascii="方正小标宋简体" w:eastAsia="方正小标宋简体"/>
          <w:sz w:val="72"/>
          <w:szCs w:val="72"/>
          <w:highlight w:val="none"/>
          <w:lang w:val="en-US" w:eastAsia="zh-CN"/>
        </w:rPr>
        <w:t>龙泉镇</w:t>
      </w:r>
      <w:r>
        <w:rPr>
          <w:rFonts w:hint="eastAsia" w:ascii="方正小标宋简体" w:eastAsia="方正小标宋简体"/>
          <w:sz w:val="72"/>
          <w:szCs w:val="72"/>
          <w:highlight w:val="none"/>
          <w:lang w:eastAsia="zh-CN"/>
        </w:rPr>
        <w:t>人民政府</w:t>
      </w:r>
      <w:r>
        <w:rPr>
          <w:rFonts w:hint="eastAsia" w:ascii="方正小标宋简体" w:eastAsia="方正小标宋简体"/>
          <w:sz w:val="72"/>
          <w:szCs w:val="72"/>
          <w:highlight w:val="none"/>
        </w:rPr>
        <w:t>预算</w:t>
      </w:r>
      <w:r>
        <w:rPr>
          <w:rFonts w:hint="eastAsia" w:ascii="方正小标宋简体" w:eastAsia="方正小标宋简体"/>
          <w:sz w:val="72"/>
          <w:szCs w:val="72"/>
          <w:highlight w:val="none"/>
          <w:lang w:eastAsia="zh-CN"/>
        </w:rPr>
        <w:t>公开</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1590" w:firstLineChars="497"/>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二、机构设置</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2022年部门预算表格</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一、2022年部门收支总表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二、2022年部门收入总表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三、2022年部门支出总表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四、2022年部门财政拨款收支总表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五、2022年部门一般公共预算支出表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六、2022年部门政府性基金预算支出表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七、2022年部门预算经济分类和对应的政府预算经济分类基本支出预算明细表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九、2022年部门政府采购预算表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十、2022年部门“三公”经费预算财政拨款情况表</w:t>
      </w:r>
      <w:r>
        <w:rPr>
          <w:rFonts w:hint="eastAsia" w:ascii="仿宋_GB2312" w:hAnsi="黑体" w:eastAsia="仿宋_GB2312"/>
          <w:color w:val="auto"/>
          <w:sz w:val="32"/>
          <w:szCs w:val="32"/>
          <w:highlight w:val="none"/>
        </w:rPr>
        <w:tab/>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840" w:lineRule="exact"/>
        <w:ind w:firstLine="640" w:firstLineChars="200"/>
        <w:rPr>
          <w:rFonts w:ascii="仿宋_GB2312" w:hAnsi="黑体" w:eastAsia="仿宋_GB2312"/>
          <w:b/>
          <w:color w:val="auto"/>
          <w:sz w:val="44"/>
          <w:szCs w:val="44"/>
          <w:highlight w:val="none"/>
        </w:rPr>
      </w:pPr>
      <w:r>
        <w:rPr>
          <w:rFonts w:hint="eastAsia" w:ascii="仿宋_GB2312" w:hAnsi="宋体" w:eastAsia="仿宋_GB2312" w:cs="宋体"/>
          <w:color w:val="auto"/>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7.按照管理权限,负责机关和事业单位工作人员的教育、培养、选拔和监督工作; 协助管理好派驻单位人员。8.依法依规承担下放的经济社会管理权限和行政执法事项。9.法律、法规规定和县委、县政府交办的其他事项。10.职能转变。（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spacing w:line="640" w:lineRule="exact"/>
        <w:ind w:firstLine="645"/>
        <w:rPr>
          <w:rFonts w:ascii="仿宋_GB2312" w:hAnsi="宋体" w:eastAsia="仿宋_GB2312" w:cs="宋体"/>
          <w:color w:val="auto"/>
          <w:kern w:val="0"/>
          <w:sz w:val="32"/>
          <w:szCs w:val="32"/>
          <w:highlight w:val="none"/>
        </w:rPr>
      </w:pP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840" w:lineRule="exact"/>
        <w:ind w:firstLine="640" w:firstLineChars="200"/>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党政机构： 1.党政综合办公室</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2.党建工作办公室</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3.经济发展和社会事务办公室</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4.社会治理和应急管理办公室</w:t>
      </w:r>
      <w:r>
        <w:rPr>
          <w:rFonts w:hint="eastAsia" w:ascii="仿宋_GB2312" w:hAnsi="宋体" w:eastAsia="仿宋_GB2312" w:cs="宋体"/>
          <w:color w:val="auto"/>
          <w:kern w:val="0"/>
          <w:sz w:val="32"/>
          <w:szCs w:val="32"/>
          <w:highlight w:val="none"/>
          <w:lang w:eastAsia="zh-CN"/>
        </w:rPr>
        <w:t>；</w:t>
      </w:r>
    </w:p>
    <w:p>
      <w:pPr>
        <w:keepNext w:val="0"/>
        <w:keepLines w:val="0"/>
        <w:widowControl/>
        <w:suppressLineNumbers w:val="0"/>
        <w:jc w:val="left"/>
        <w:rPr>
          <w:color w:val="auto"/>
        </w:rPr>
      </w:pPr>
      <w:r>
        <w:rPr>
          <w:rFonts w:hint="eastAsia" w:ascii="仿宋_GB2312" w:hAnsi="宋体" w:eastAsia="仿宋_GB2312" w:cs="宋体"/>
          <w:color w:val="auto"/>
          <w:kern w:val="0"/>
          <w:sz w:val="32"/>
          <w:szCs w:val="32"/>
          <w:highlight w:val="none"/>
        </w:rPr>
        <w:t>事业单位： 1.农业农村综合服务中心</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2.公共事务服务中心</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3.政务（便民）服务中心</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4.社会治安综合治理中心</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 xml:space="preserve"> 5.综合行政执法队</w:t>
      </w:r>
      <w:r>
        <w:rPr>
          <w:rFonts w:hint="eastAsia" w:ascii="仿宋_GB2312" w:hAnsi="宋体" w:eastAsia="仿宋_GB2312" w:cs="宋体"/>
          <w:color w:val="auto"/>
          <w:kern w:val="0"/>
          <w:sz w:val="32"/>
          <w:szCs w:val="32"/>
          <w:highlight w:val="none"/>
          <w:lang w:eastAsia="zh-CN"/>
        </w:rPr>
        <w:t>；</w:t>
      </w:r>
    </w:p>
    <w:p>
      <w:pPr>
        <w:spacing w:line="840" w:lineRule="exact"/>
        <w:ind w:firstLine="883" w:firstLineChars="200"/>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840" w:lineRule="exact"/>
        <w:jc w:val="both"/>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一、部门预算总体说明</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黑体" w:eastAsia="仿宋_GB2312"/>
          <w:color w:val="auto"/>
          <w:sz w:val="32"/>
          <w:szCs w:val="32"/>
          <w:highlight w:val="none"/>
        </w:rPr>
        <w:t>2022年预算收入11870484.73元，比上年预算</w:t>
      </w:r>
      <w:r>
        <w:rPr>
          <w:rFonts w:hint="eastAsia" w:ascii="仿宋_GB2312" w:hAnsi="黑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3320651.73</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38.8</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sz w:val="32"/>
          <w:szCs w:val="32"/>
          <w:highlight w:val="none"/>
          <w:lang w:val="en-US" w:eastAsia="zh-CN"/>
        </w:rPr>
        <w:t>人员变化，人员经费</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项目支出增加</w:t>
      </w:r>
      <w:r>
        <w:rPr>
          <w:rFonts w:hint="eastAsia" w:ascii="仿宋_GB2312" w:hAnsi="宋体" w:eastAsia="仿宋_GB2312"/>
          <w:color w:val="auto"/>
          <w:sz w:val="32"/>
          <w:szCs w:val="32"/>
          <w:highlight w:val="none"/>
          <w:lang w:eastAsia="zh-CN"/>
        </w:rPr>
        <w:t>。</w:t>
      </w:r>
      <w:r>
        <w:rPr>
          <w:rFonts w:hint="eastAsia" w:ascii="仿宋_GB2312" w:hAnsi="黑体" w:eastAsia="仿宋_GB2312"/>
          <w:color w:val="auto"/>
          <w:sz w:val="32"/>
          <w:szCs w:val="32"/>
          <w:highlight w:val="none"/>
        </w:rPr>
        <w:t>其中：一般公共预算财政拨款收入6815839.56元，政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11870484.73元</w:t>
      </w:r>
      <w:r>
        <w:rPr>
          <w:rFonts w:hint="eastAsia" w:ascii="仿宋_GB2312" w:hAnsi="宋体" w:eastAsia="仿宋_GB2312"/>
          <w:color w:val="auto"/>
          <w:sz w:val="32"/>
          <w:szCs w:val="32"/>
          <w:highlight w:val="none"/>
        </w:rPr>
        <w:t>，相应比上年预算数</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38.8</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sz w:val="32"/>
          <w:szCs w:val="32"/>
          <w:highlight w:val="none"/>
          <w:lang w:val="en-US" w:eastAsia="zh-CN"/>
        </w:rPr>
        <w:t>人员变化，人员经费</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项目支出增加</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6815839.56</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6815839.56</w:t>
      </w:r>
      <w:r>
        <w:rPr>
          <w:rFonts w:hint="eastAsia" w:ascii="仿宋_GB2312" w:hAnsi="宋体" w:eastAsia="仿宋_GB2312"/>
          <w:color w:val="auto"/>
          <w:sz w:val="32"/>
          <w:szCs w:val="32"/>
          <w:highlight w:val="none"/>
        </w:rPr>
        <w:t>元，比上年预算数</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62.93</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sz w:val="32"/>
          <w:szCs w:val="32"/>
          <w:highlight w:val="none"/>
          <w:lang w:val="en-US" w:eastAsia="zh-CN"/>
        </w:rPr>
        <w:t>人员变化，人员经费</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项目</w:t>
      </w:r>
      <w:bookmarkStart w:id="0" w:name="_GoBack"/>
      <w:bookmarkEnd w:id="0"/>
      <w:r>
        <w:rPr>
          <w:rFonts w:hint="eastAsia" w:ascii="仿宋_GB2312" w:hAnsi="黑体" w:eastAsia="仿宋_GB2312"/>
          <w:sz w:val="32"/>
          <w:szCs w:val="32"/>
          <w:highlight w:val="none"/>
          <w:lang w:val="en-US" w:eastAsia="zh-CN"/>
        </w:rPr>
        <w:t>支出增加</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578401.24元.比上年预算数</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28.35</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color w:val="auto"/>
          <w:sz w:val="32"/>
          <w:szCs w:val="32"/>
          <w:highlight w:val="none"/>
          <w:lang w:eastAsia="zh-CN"/>
        </w:rPr>
        <w:t>人员</w:t>
      </w:r>
      <w:r>
        <w:rPr>
          <w:rFonts w:hint="eastAsia" w:ascii="仿宋_GB2312" w:hAnsi="宋体" w:eastAsia="仿宋_GB2312"/>
          <w:color w:val="auto"/>
          <w:sz w:val="32"/>
          <w:szCs w:val="32"/>
          <w:highlight w:val="none"/>
          <w:lang w:val="en-US" w:eastAsia="zh-CN"/>
        </w:rPr>
        <w:t>增加</w:t>
      </w:r>
      <w:r>
        <w:rPr>
          <w:rFonts w:hint="eastAsia" w:ascii="仿宋_GB2312" w:hAnsi="宋体" w:eastAsia="仿宋_GB2312"/>
          <w:color w:val="auto"/>
          <w:sz w:val="32"/>
          <w:szCs w:val="32"/>
          <w:highlight w:val="none"/>
          <w:lang w:eastAsia="zh-CN"/>
        </w:rPr>
        <w:t>经费相应增加。</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rPr>
        <w:t>卫生健康支出237798.57</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主要原因是卫生健康列入单位预算。</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eastAsia="zh-CN"/>
        </w:rPr>
        <w:t>农林水支出3810000.00元，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eastAsia="zh-CN"/>
        </w:rPr>
        <w:t>没变化。</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eastAsia="zh-CN"/>
        </w:rPr>
        <w:t>住房保障支出428445.36元，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主要原因是住房公积金列入单位预算。</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color w:val="auto"/>
          <w:sz w:val="32"/>
          <w:szCs w:val="32"/>
          <w:highlight w:val="none"/>
        </w:rPr>
        <w:t>2022年预算支出6815839.56元，比上年预算数</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62.93</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sz w:val="32"/>
          <w:szCs w:val="32"/>
          <w:highlight w:val="none"/>
          <w:lang w:val="en-US" w:eastAsia="zh-CN"/>
        </w:rPr>
        <w:t>人员变化，人员经费</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历年项目欠款支出增加</w:t>
      </w:r>
      <w:r>
        <w:rPr>
          <w:rFonts w:hint="eastAsia" w:ascii="仿宋_GB2312" w:hAnsi="黑体" w:eastAsia="仿宋_GB2312"/>
          <w:color w:val="auto"/>
          <w:sz w:val="32"/>
          <w:szCs w:val="32"/>
          <w:highlight w:val="none"/>
        </w:rPr>
        <w:t>。</w:t>
      </w: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highlight w:val="none"/>
          <w:lang w:eastAsia="zh-CN"/>
        </w:rPr>
        <w:t>10000.00元，其中：</w:t>
      </w:r>
      <w:r>
        <w:rPr>
          <w:rFonts w:hint="eastAsia" w:ascii="仿宋_GB2312" w:hAnsi="宋体" w:eastAsia="仿宋_GB2312"/>
          <w:b w:val="0"/>
          <w:bCs w:val="0"/>
          <w:sz w:val="32"/>
          <w:szCs w:val="32"/>
          <w:highlight w:val="none"/>
          <w:lang w:eastAsia="zh-CN"/>
        </w:rPr>
        <w:t>行政运支出</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p>
    <w:p>
      <w:pPr>
        <w:spacing w:line="640" w:lineRule="exact"/>
        <w:rPr>
          <w:rFonts w:ascii="仿宋_GB2312" w:hAnsi="黑体" w:eastAsia="仿宋_GB2312"/>
          <w:color w:val="auto"/>
          <w:sz w:val="32"/>
          <w:szCs w:val="32"/>
          <w:highlight w:val="none"/>
        </w:rPr>
      </w:pPr>
      <w:r>
        <w:rPr>
          <w:rFonts w:hint="eastAsia" w:ascii="仿宋_GB2312" w:hAnsi="宋体" w:eastAsia="仿宋_GB2312"/>
          <w:b/>
          <w:bCs/>
          <w:sz w:val="32"/>
          <w:szCs w:val="32"/>
          <w:highlight w:val="none"/>
          <w:lang w:eastAsia="zh-CN"/>
        </w:rPr>
        <w:t>政府办公厅（室）及相关机构事务（款）</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6734432.00元</w:t>
      </w:r>
      <w:r>
        <w:rPr>
          <w:rFonts w:hint="eastAsia" w:ascii="仿宋_GB2312" w:hAnsi="宋体" w:eastAsia="仿宋_GB2312"/>
          <w:sz w:val="32"/>
          <w:szCs w:val="32"/>
          <w:highlight w:val="none"/>
          <w:lang w:val="en-US" w:eastAsia="zh-CN"/>
        </w:rPr>
        <w:t>,</w:t>
      </w:r>
      <w:r>
        <w:rPr>
          <w:rFonts w:hint="eastAsia" w:ascii="仿宋_GB2312" w:hAnsi="宋体" w:eastAsia="仿宋_GB2312"/>
          <w:b w:val="0"/>
          <w:bCs w:val="0"/>
          <w:sz w:val="32"/>
          <w:szCs w:val="32"/>
          <w:highlight w:val="none"/>
          <w:lang w:eastAsia="zh-CN"/>
        </w:rPr>
        <w:t>较上年增加</w:t>
      </w:r>
      <w:r>
        <w:rPr>
          <w:rFonts w:hint="eastAsia" w:ascii="仿宋_GB2312" w:hAnsi="宋体" w:eastAsia="仿宋_GB2312"/>
          <w:b w:val="0"/>
          <w:bCs w:val="0"/>
          <w:sz w:val="32"/>
          <w:szCs w:val="32"/>
          <w:highlight w:val="none"/>
          <w:lang w:val="en-US" w:eastAsia="zh-CN"/>
        </w:rPr>
        <w:t>31.6%。</w:t>
      </w:r>
      <w:r>
        <w:rPr>
          <w:rFonts w:hint="eastAsia" w:ascii="仿宋_GB2312" w:hAnsi="宋体" w:eastAsia="仿宋_GB2312"/>
          <w:sz w:val="32"/>
          <w:szCs w:val="32"/>
          <w:highlight w:val="none"/>
          <w:lang w:eastAsia="zh-CN"/>
        </w:rPr>
        <w:t>其中：</w:t>
      </w:r>
      <w:r>
        <w:rPr>
          <w:rFonts w:hint="eastAsia" w:ascii="仿宋_GB2312" w:hAnsi="宋体" w:eastAsia="仿宋_GB2312"/>
          <w:b w:val="0"/>
          <w:bCs w:val="0"/>
          <w:sz w:val="32"/>
          <w:szCs w:val="32"/>
          <w:highlight w:val="none"/>
          <w:lang w:eastAsia="zh-CN"/>
        </w:rPr>
        <w:t>行政运行（项）</w:t>
      </w:r>
      <w:r>
        <w:rPr>
          <w:rFonts w:hint="eastAsia" w:ascii="仿宋_GB2312" w:hAnsi="黑体" w:eastAsia="仿宋_GB2312"/>
          <w:b w:val="0"/>
          <w:bCs w:val="0"/>
          <w:sz w:val="32"/>
          <w:szCs w:val="32"/>
          <w:highlight w:val="none"/>
          <w:lang w:val="en-US" w:eastAsia="zh-CN"/>
        </w:rPr>
        <w:t>2022年支出</w:t>
      </w:r>
      <w:r>
        <w:rPr>
          <w:rFonts w:hint="eastAsia" w:ascii="仿宋_GB2312" w:hAnsi="宋体" w:eastAsia="仿宋_GB2312"/>
          <w:b w:val="0"/>
          <w:bCs w:val="0"/>
          <w:sz w:val="32"/>
          <w:szCs w:val="32"/>
          <w:highlight w:val="none"/>
          <w:lang w:eastAsia="zh-CN"/>
        </w:rPr>
        <w:t>5644432.00元，较上年增加</w:t>
      </w:r>
      <w:r>
        <w:rPr>
          <w:rFonts w:hint="eastAsia" w:ascii="仿宋_GB2312" w:hAnsi="宋体" w:eastAsia="仿宋_GB2312"/>
          <w:b w:val="0"/>
          <w:bCs w:val="0"/>
          <w:sz w:val="32"/>
          <w:szCs w:val="32"/>
          <w:highlight w:val="none"/>
          <w:lang w:val="en-US" w:eastAsia="zh-CN"/>
        </w:rPr>
        <w:t>31.6%，增加的主要原因：人员变化，人员经费</w:t>
      </w:r>
      <w:r>
        <w:rPr>
          <w:rFonts w:hint="eastAsia" w:ascii="仿宋_GB2312" w:hAnsi="黑体" w:eastAsia="仿宋_GB2312"/>
          <w:b w:val="0"/>
          <w:bCs w:val="0"/>
          <w:sz w:val="32"/>
          <w:szCs w:val="32"/>
          <w:highlight w:val="none"/>
          <w:lang w:eastAsia="zh-CN"/>
        </w:rPr>
        <w:t>增加</w:t>
      </w:r>
      <w:r>
        <w:rPr>
          <w:rFonts w:hint="eastAsia" w:ascii="仿宋_GB2312" w:hAnsi="宋体" w:eastAsia="仿宋_GB2312"/>
          <w:b w:val="0"/>
          <w:bCs w:val="0"/>
          <w:sz w:val="32"/>
          <w:szCs w:val="32"/>
          <w:highlight w:val="none"/>
          <w:lang w:eastAsia="zh-CN"/>
        </w:rPr>
        <w:t>；其他政府办公厅（室）及相关机构事务支出（项）</w:t>
      </w:r>
      <w:r>
        <w:rPr>
          <w:rFonts w:hint="eastAsia" w:ascii="仿宋_GB2312" w:hAnsi="黑体" w:eastAsia="仿宋_GB2312"/>
          <w:b w:val="0"/>
          <w:bCs w:val="0"/>
          <w:sz w:val="32"/>
          <w:szCs w:val="32"/>
          <w:highlight w:val="none"/>
          <w:lang w:val="en-US" w:eastAsia="zh-CN"/>
        </w:rPr>
        <w:t>1090000.00元，</w:t>
      </w:r>
      <w:r>
        <w:rPr>
          <w:rFonts w:hint="eastAsia" w:ascii="仿宋_GB2312" w:hAnsi="黑体" w:eastAsia="仿宋_GB2312"/>
          <w:b w:val="0"/>
          <w:bCs w:val="0"/>
          <w:sz w:val="32"/>
          <w:szCs w:val="32"/>
          <w:highlight w:val="none"/>
          <w:lang w:eastAsia="zh-CN"/>
        </w:rPr>
        <w:t>比上年预算数增加</w:t>
      </w:r>
      <w:r>
        <w:rPr>
          <w:rFonts w:hint="eastAsia" w:ascii="仿宋_GB2312" w:hAnsi="黑体" w:eastAsia="仿宋_GB2312"/>
          <w:b w:val="0"/>
          <w:bCs w:val="0"/>
          <w:sz w:val="32"/>
          <w:szCs w:val="32"/>
          <w:highlight w:val="none"/>
          <w:lang w:val="en-US" w:eastAsia="zh-CN"/>
        </w:rPr>
        <w:t>100%，上年未列入</w:t>
      </w:r>
      <w:r>
        <w:rPr>
          <w:rFonts w:hint="eastAsia" w:ascii="仿宋_GB2312" w:hAnsi="黑体" w:eastAsia="仿宋_GB2312"/>
          <w:sz w:val="32"/>
          <w:szCs w:val="32"/>
          <w:highlight w:val="none"/>
          <w:lang w:val="en-US" w:eastAsia="zh-CN"/>
        </w:rPr>
        <w:t>预算。</w:t>
      </w: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color w:val="auto"/>
          <w:sz w:val="32"/>
          <w:szCs w:val="32"/>
          <w:highlight w:val="none"/>
        </w:rPr>
        <w:t>2022年预算支出</w:t>
      </w:r>
      <w:r>
        <w:rPr>
          <w:rFonts w:hint="eastAsia" w:ascii="仿宋_GB2312" w:hAnsi="宋体" w:eastAsia="仿宋_GB2312"/>
          <w:sz w:val="32"/>
          <w:szCs w:val="32"/>
          <w:highlight w:val="none"/>
          <w:lang w:eastAsia="zh-CN"/>
        </w:rPr>
        <w:t>71407.56元，较上年增加</w:t>
      </w:r>
      <w:r>
        <w:rPr>
          <w:rFonts w:hint="eastAsia" w:ascii="仿宋_GB2312" w:hAnsi="宋体" w:eastAsia="仿宋_GB2312"/>
          <w:sz w:val="32"/>
          <w:szCs w:val="32"/>
          <w:highlight w:val="none"/>
          <w:lang w:val="en-US" w:eastAsia="zh-CN"/>
        </w:rPr>
        <w:t>93.89%。</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工会事务支出（项）</w:t>
      </w:r>
      <w:r>
        <w:rPr>
          <w:rFonts w:hint="eastAsia" w:ascii="仿宋_GB2312" w:hAnsi="宋体" w:eastAsia="仿宋_GB2312"/>
          <w:sz w:val="32"/>
          <w:szCs w:val="32"/>
          <w:highlight w:val="none"/>
          <w:lang w:eastAsia="zh-CN"/>
        </w:rPr>
        <w:t>71407.56元，较上年增加</w:t>
      </w:r>
      <w:r>
        <w:rPr>
          <w:rFonts w:hint="eastAsia" w:ascii="仿宋_GB2312" w:hAnsi="宋体" w:eastAsia="仿宋_GB2312"/>
          <w:sz w:val="32"/>
          <w:szCs w:val="32"/>
          <w:highlight w:val="none"/>
          <w:lang w:val="en-US" w:eastAsia="zh-CN"/>
        </w:rPr>
        <w:t>93.89%，增加的主要原因是工会会员增加</w:t>
      </w:r>
      <w:r>
        <w:rPr>
          <w:rFonts w:hint="eastAsia" w:ascii="仿宋_GB2312" w:hAnsi="宋体" w:eastAsia="仿宋_GB2312"/>
          <w:sz w:val="32"/>
          <w:szCs w:val="32"/>
          <w:highlight w:val="none"/>
          <w:lang w:eastAsia="zh-CN"/>
        </w:rPr>
        <w:t>。</w:t>
      </w:r>
    </w:p>
    <w:p>
      <w:pPr>
        <w:numPr>
          <w:ilvl w:val="0"/>
          <w:numId w:val="0"/>
        </w:numPr>
        <w:spacing w:line="640" w:lineRule="exact"/>
        <w:ind w:left="630" w:leftChars="0" w:firstLine="643"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b/>
          <w:color w:val="auto"/>
          <w:sz w:val="32"/>
          <w:szCs w:val="32"/>
          <w:highlight w:val="none"/>
          <w:lang w:eastAsia="zh-CN"/>
        </w:rPr>
        <w:t>（二）</w:t>
      </w:r>
      <w:r>
        <w:rPr>
          <w:rFonts w:hint="eastAsia" w:ascii="仿宋_GB2312" w:hAnsi="黑体" w:eastAsia="仿宋_GB2312"/>
          <w:b/>
          <w:color w:val="auto"/>
          <w:sz w:val="32"/>
          <w:szCs w:val="32"/>
          <w:highlight w:val="none"/>
        </w:rPr>
        <w:t>社会保障和就业支出（类</w:t>
      </w:r>
      <w:r>
        <w:rPr>
          <w:rFonts w:hint="eastAsia" w:ascii="仿宋_GB2312" w:hAnsi="黑体" w:eastAsia="仿宋_GB2312"/>
          <w:color w:val="auto"/>
          <w:sz w:val="32"/>
          <w:szCs w:val="32"/>
          <w:highlight w:val="none"/>
        </w:rPr>
        <w:t>）2022年预算支出578401.24元，比上年预算数</w:t>
      </w:r>
      <w:r>
        <w:rPr>
          <w:rFonts w:hint="eastAsia" w:ascii="仿宋_GB2312" w:hAnsi="宋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28.35</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color w:val="auto"/>
          <w:sz w:val="32"/>
          <w:szCs w:val="32"/>
          <w:highlight w:val="none"/>
          <w:lang w:eastAsia="zh-CN"/>
        </w:rPr>
        <w:t>人员</w:t>
      </w:r>
      <w:r>
        <w:rPr>
          <w:rFonts w:hint="eastAsia" w:ascii="仿宋_GB2312" w:hAnsi="宋体" w:eastAsia="仿宋_GB2312"/>
          <w:color w:val="auto"/>
          <w:sz w:val="32"/>
          <w:szCs w:val="32"/>
          <w:highlight w:val="none"/>
          <w:lang w:val="en-US" w:eastAsia="zh-CN"/>
        </w:rPr>
        <w:t>增加</w:t>
      </w:r>
      <w:r>
        <w:rPr>
          <w:rFonts w:hint="eastAsia" w:ascii="仿宋_GB2312" w:hAnsi="宋体" w:eastAsia="仿宋_GB2312"/>
          <w:color w:val="auto"/>
          <w:sz w:val="32"/>
          <w:szCs w:val="32"/>
          <w:highlight w:val="none"/>
          <w:lang w:eastAsia="zh-CN"/>
        </w:rPr>
        <w:t>经费相应增加。</w:t>
      </w: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571260.48元，其中：</w:t>
      </w:r>
      <w:r>
        <w:rPr>
          <w:rFonts w:hint="eastAsia" w:ascii="仿宋_GB2312" w:hAnsi="黑体" w:eastAsia="仿宋_GB2312"/>
          <w:b w:val="0"/>
          <w:bCs w:val="0"/>
          <w:sz w:val="32"/>
          <w:szCs w:val="32"/>
          <w:highlight w:val="none"/>
          <w:lang w:val="en-US" w:eastAsia="zh-CN"/>
        </w:rPr>
        <w:t>机关事业单位基本养老保险缴费支出</w:t>
      </w:r>
      <w:r>
        <w:rPr>
          <w:rFonts w:hint="eastAsia" w:ascii="仿宋_GB2312" w:hAnsi="黑体" w:eastAsia="仿宋_GB2312"/>
          <w:b w:val="0"/>
          <w:bCs w:val="0"/>
          <w:sz w:val="32"/>
          <w:szCs w:val="32"/>
          <w:highlight w:val="none"/>
          <w:lang w:eastAsia="zh-CN"/>
        </w:rPr>
        <w:t>（项）</w:t>
      </w:r>
      <w:r>
        <w:rPr>
          <w:rFonts w:hint="eastAsia" w:ascii="仿宋_GB2312" w:hAnsi="黑体" w:eastAsia="仿宋_GB2312"/>
          <w:sz w:val="32"/>
          <w:szCs w:val="32"/>
          <w:highlight w:val="none"/>
          <w:lang w:val="en-US" w:eastAsia="zh-CN"/>
        </w:rPr>
        <w:t>571260.48元，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26.76%，因人员增加；</w:t>
      </w: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7140.76元，其中：</w:t>
      </w:r>
      <w:r>
        <w:rPr>
          <w:rFonts w:hint="eastAsia" w:ascii="仿宋_GB2312" w:hAnsi="黑体" w:eastAsia="仿宋_GB2312"/>
          <w:b w:val="0"/>
          <w:bCs w:val="0"/>
          <w:sz w:val="32"/>
          <w:szCs w:val="32"/>
          <w:highlight w:val="none"/>
          <w:lang w:val="en-US" w:eastAsia="zh-CN"/>
        </w:rPr>
        <w:t>财政对工伤保险基金的补助</w:t>
      </w:r>
      <w:r>
        <w:rPr>
          <w:rFonts w:hint="eastAsia" w:ascii="仿宋_GB2312" w:hAnsi="黑体" w:eastAsia="仿宋_GB2312"/>
          <w:b w:val="0"/>
          <w:bCs w:val="0"/>
          <w:sz w:val="32"/>
          <w:szCs w:val="32"/>
          <w:highlight w:val="none"/>
          <w:lang w:eastAsia="zh-CN"/>
        </w:rPr>
        <w:t>（项）</w:t>
      </w:r>
      <w:r>
        <w:rPr>
          <w:rFonts w:hint="eastAsia" w:ascii="仿宋_GB2312" w:hAnsi="黑体" w:eastAsia="仿宋_GB2312"/>
          <w:sz w:val="32"/>
          <w:szCs w:val="32"/>
          <w:highlight w:val="none"/>
          <w:lang w:val="en-US" w:eastAsia="zh-CN"/>
        </w:rPr>
        <w:t>7140.76元，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0"/>
        </w:numPr>
        <w:spacing w:line="640" w:lineRule="exact"/>
        <w:ind w:left="630" w:leftChars="0"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color w:val="auto"/>
          <w:sz w:val="32"/>
          <w:szCs w:val="32"/>
          <w:highlight w:val="none"/>
        </w:rPr>
        <w:t>2022年预算支出237798.57</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highlight w:val="none"/>
          <w:lang w:val="en-US" w:eastAsia="zh-CN"/>
        </w:rPr>
        <w:t>0</w:t>
      </w:r>
      <w:r>
        <w:rPr>
          <w:rFonts w:hint="eastAsia" w:ascii="仿宋" w:hAnsi="仿宋" w:eastAsia="仿宋" w:cs="仿宋"/>
          <w:b w:val="0"/>
          <w:bCs w:val="0"/>
          <w:color w:val="000000"/>
          <w:sz w:val="32"/>
          <w:szCs w:val="32"/>
          <w:highlight w:val="none"/>
          <w:lang w:eastAsia="zh-CN"/>
        </w:rPr>
        <w:t>元</w:t>
      </w:r>
      <w:r>
        <w:rPr>
          <w:rFonts w:hint="eastAsia" w:ascii="仿宋" w:hAnsi="仿宋" w:eastAsia="仿宋" w:cs="仿宋"/>
          <w:b w:val="0"/>
          <w:bCs/>
          <w:color w:val="000000"/>
          <w:sz w:val="32"/>
          <w:szCs w:val="32"/>
          <w:highlight w:val="none"/>
          <w:lang w:val="en-US" w:eastAsia="zh-CN"/>
        </w:rPr>
        <w:t>增加100%，</w:t>
      </w:r>
      <w:r>
        <w:rPr>
          <w:rFonts w:hint="eastAsia" w:ascii="仿宋_GB2312" w:hAnsi="黑体" w:eastAsia="仿宋_GB2312"/>
          <w:sz w:val="32"/>
          <w:szCs w:val="32"/>
          <w:highlight w:val="none"/>
          <w:lang w:eastAsia="zh-CN"/>
        </w:rPr>
        <w:t>主要原因是卫生健康列入单位预算。</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237798.57元，其中：</w:t>
      </w:r>
      <w:r>
        <w:rPr>
          <w:rFonts w:hint="eastAsia" w:ascii="仿宋_GB2312" w:hAnsi="黑体" w:eastAsia="仿宋_GB2312"/>
          <w:b w:val="0"/>
          <w:bCs w:val="0"/>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支出237798.57元，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highlight w:val="none"/>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left="630" w:leftChars="0" w:firstLine="643" w:firstLineChars="200"/>
        <w:rPr>
          <w:rFonts w:hint="eastAsia" w:ascii="仿宋" w:hAnsi="仿宋" w:eastAsia="仿宋" w:cs="仿宋"/>
          <w:b w:val="0"/>
          <w:bCs w:val="0"/>
          <w:color w:val="000000"/>
          <w:sz w:val="32"/>
          <w:szCs w:val="32"/>
          <w:highlight w:val="none"/>
          <w:lang w:eastAsia="zh-CN"/>
        </w:rPr>
      </w:pPr>
      <w:r>
        <w:rPr>
          <w:rFonts w:hint="eastAsia" w:ascii="仿宋_GB2312" w:hAnsi="黑体" w:eastAsia="仿宋_GB2312"/>
          <w:b/>
          <w:sz w:val="32"/>
          <w:szCs w:val="32"/>
          <w:highlight w:val="none"/>
          <w:lang w:val="en-US" w:eastAsia="zh-CN"/>
        </w:rPr>
        <w:t>（四）农林水支出（类）</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eastAsia="zh-CN"/>
        </w:rPr>
        <w:t>3810000.00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highlight w:val="none"/>
          <w:lang w:eastAsia="zh-CN"/>
        </w:rPr>
        <w:t>没变化。</w:t>
      </w:r>
      <w:r>
        <w:rPr>
          <w:rFonts w:hint="eastAsia" w:ascii="仿宋" w:hAnsi="仿宋" w:eastAsia="仿宋" w:cs="仿宋"/>
          <w:b/>
          <w:bCs/>
          <w:color w:val="000000"/>
          <w:sz w:val="32"/>
          <w:szCs w:val="32"/>
          <w:highlight w:val="none"/>
          <w:lang w:eastAsia="zh-CN"/>
        </w:rPr>
        <w:t>农村综合改革支出</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lang w:eastAsia="zh-CN"/>
        </w:rPr>
        <w:t>3810000.00</w:t>
      </w:r>
      <w:r>
        <w:rPr>
          <w:rFonts w:hint="eastAsia" w:ascii="仿宋" w:hAnsi="仿宋" w:eastAsia="仿宋" w:cs="仿宋"/>
          <w:b w:val="0"/>
          <w:bCs w:val="0"/>
          <w:color w:val="000000"/>
          <w:sz w:val="32"/>
          <w:szCs w:val="32"/>
          <w:highlight w:val="none"/>
          <w:lang w:eastAsia="zh-CN"/>
        </w:rPr>
        <w:t>元，其中：</w:t>
      </w:r>
      <w:r>
        <w:rPr>
          <w:rFonts w:hint="eastAsia" w:ascii="仿宋" w:hAnsi="仿宋" w:eastAsia="仿宋" w:cs="仿宋"/>
          <w:b/>
          <w:bCs/>
          <w:color w:val="000000"/>
          <w:sz w:val="32"/>
          <w:szCs w:val="32"/>
          <w:highlight w:val="none"/>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eastAsia="zh-CN"/>
        </w:rPr>
        <w:t>3810000.00</w:t>
      </w:r>
      <w:r>
        <w:rPr>
          <w:rFonts w:hint="eastAsia" w:ascii="仿宋" w:hAnsi="仿宋" w:eastAsia="仿宋" w:cs="仿宋"/>
          <w:b w:val="0"/>
          <w:bCs w:val="0"/>
          <w:color w:val="000000"/>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2021年无变化</w:t>
      </w:r>
      <w:r>
        <w:rPr>
          <w:rFonts w:hint="eastAsia" w:ascii="仿宋" w:hAnsi="仿宋" w:eastAsia="仿宋" w:cs="仿宋"/>
          <w:b w:val="0"/>
          <w:bCs w:val="0"/>
          <w:color w:val="000000"/>
          <w:sz w:val="32"/>
          <w:szCs w:val="32"/>
          <w:highlight w:val="none"/>
          <w:lang w:eastAsia="zh-CN"/>
        </w:rPr>
        <w:t>。</w:t>
      </w:r>
    </w:p>
    <w:p>
      <w:pPr>
        <w:numPr>
          <w:ilvl w:val="0"/>
          <w:numId w:val="0"/>
        </w:numPr>
        <w:spacing w:line="640" w:lineRule="exact"/>
        <w:ind w:left="630" w:leftChars="0"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color w:val="auto"/>
          <w:sz w:val="32"/>
          <w:szCs w:val="32"/>
          <w:highlight w:val="none"/>
          <w:lang w:eastAsia="zh-CN"/>
        </w:rPr>
        <w:t>428445.36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highlight w:val="none"/>
          <w:lang w:eastAsia="zh-CN"/>
        </w:rPr>
        <w:t>元</w:t>
      </w:r>
      <w:r>
        <w:rPr>
          <w:rFonts w:hint="eastAsia" w:ascii="仿宋" w:hAnsi="仿宋" w:eastAsia="仿宋" w:cs="仿宋"/>
          <w:b w:val="0"/>
          <w:bCs/>
          <w:color w:val="000000"/>
          <w:sz w:val="32"/>
          <w:szCs w:val="32"/>
          <w:highlight w:val="none"/>
          <w:lang w:val="en-US" w:eastAsia="zh-CN"/>
        </w:rPr>
        <w:t>，增加100%，</w:t>
      </w:r>
      <w:r>
        <w:rPr>
          <w:rFonts w:hint="eastAsia" w:ascii="仿宋_GB2312" w:hAnsi="黑体" w:eastAsia="仿宋_GB2312"/>
          <w:sz w:val="32"/>
          <w:szCs w:val="32"/>
          <w:highlight w:val="none"/>
          <w:lang w:eastAsia="zh-CN"/>
        </w:rPr>
        <w:t>主要原因是住房公积金列入单位预算。</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color w:val="auto"/>
          <w:sz w:val="32"/>
          <w:szCs w:val="32"/>
          <w:highlight w:val="none"/>
          <w:lang w:eastAsia="zh-CN"/>
        </w:rPr>
        <w:t>428445.36</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color w:val="auto"/>
          <w:sz w:val="32"/>
          <w:szCs w:val="32"/>
          <w:highlight w:val="none"/>
          <w:lang w:eastAsia="zh-CN"/>
        </w:rPr>
        <w:t>428445.36</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highlight w:val="none"/>
          <w:lang w:eastAsia="zh-CN"/>
        </w:rPr>
        <w:t>元</w:t>
      </w:r>
      <w:r>
        <w:rPr>
          <w:rFonts w:hint="eastAsia" w:ascii="仿宋" w:hAnsi="仿宋" w:eastAsia="仿宋" w:cs="仿宋"/>
          <w:b w:val="0"/>
          <w:bCs/>
          <w:color w:val="000000"/>
          <w:sz w:val="32"/>
          <w:szCs w:val="32"/>
          <w:highlight w:val="none"/>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三、部门一般公共预算基本支出情况说明</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2022年一般公共预算基本支出6960484.73</w:t>
      </w:r>
      <w:r>
        <w:rPr>
          <w:rFonts w:hint="eastAsia" w:ascii="仿宋_GB2312" w:hAnsi="黑体" w:eastAsia="仿宋_GB2312"/>
          <w:color w:val="auto"/>
          <w:sz w:val="32"/>
          <w:szCs w:val="32"/>
          <w:highlight w:val="none"/>
          <w:lang w:eastAsia="zh-CN"/>
        </w:rPr>
        <w:t>元，比上年预算数</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lang w:val="en-US" w:eastAsia="zh-CN"/>
        </w:rPr>
        <w:t>46.85</w:t>
      </w:r>
      <w:r>
        <w:rPr>
          <w:rFonts w:hint="eastAsia" w:ascii="仿宋_GB2312" w:hAnsi="黑体" w:eastAsia="仿宋_GB2312"/>
          <w:color w:val="auto"/>
          <w:sz w:val="32"/>
          <w:szCs w:val="32"/>
          <w:highlight w:val="none"/>
          <w:lang w:val="en-US" w:eastAsia="zh-CN"/>
        </w:rPr>
        <w:t>%</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黑体" w:eastAsia="仿宋_GB2312"/>
          <w:sz w:val="32"/>
          <w:szCs w:val="32"/>
          <w:highlight w:val="none"/>
          <w:lang w:val="en-US" w:eastAsia="zh-CN"/>
        </w:rPr>
        <w:t>历年项目欠款支出增加</w:t>
      </w:r>
      <w:r>
        <w:rPr>
          <w:rFonts w:hint="eastAsia" w:ascii="仿宋_GB2312" w:hAnsi="宋体" w:eastAsia="仿宋_GB2312"/>
          <w:color w:val="auto"/>
          <w:sz w:val="32"/>
          <w:szCs w:val="32"/>
          <w:highlight w:val="none"/>
          <w:lang w:val="en-US" w:eastAsia="zh-CN"/>
        </w:rPr>
        <w:t>、</w:t>
      </w:r>
      <w:r>
        <w:rPr>
          <w:rFonts w:hint="eastAsia" w:ascii="仿宋_GB2312" w:hAnsi="黑体" w:eastAsia="仿宋_GB2312"/>
          <w:sz w:val="32"/>
          <w:szCs w:val="32"/>
          <w:highlight w:val="none"/>
          <w:lang w:eastAsia="zh-CN"/>
        </w:rPr>
        <w:t>卫生健康、住房公积金列入单位预算</w:t>
      </w:r>
      <w:r>
        <w:rPr>
          <w:rFonts w:hint="eastAsia" w:ascii="仿宋_GB2312" w:hAnsi="黑体" w:eastAsia="仿宋_GB2312"/>
          <w:color w:val="auto"/>
          <w:sz w:val="32"/>
          <w:szCs w:val="32"/>
          <w:highlight w:val="none"/>
        </w:rPr>
        <w:t>。其中：人员经费6260484.73元，单位运转经费700000.00元。</w:t>
      </w:r>
    </w:p>
    <w:p>
      <w:pPr>
        <w:spacing w:line="640" w:lineRule="exact"/>
        <w:ind w:firstLine="640" w:firstLineChars="20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四、</w:t>
      </w:r>
      <w:r>
        <w:rPr>
          <w:rFonts w:hint="eastAsia" w:ascii="黑体" w:hAnsi="黑体" w:eastAsia="黑体"/>
          <w:color w:val="auto"/>
          <w:sz w:val="32"/>
          <w:szCs w:val="32"/>
          <w:highlight w:val="none"/>
        </w:rPr>
        <w:t>部门一般公共预算</w:t>
      </w:r>
      <w:r>
        <w:rPr>
          <w:rFonts w:hint="eastAsia" w:ascii="黑体" w:hAnsi="黑体" w:eastAsia="黑体"/>
          <w:color w:val="auto"/>
          <w:sz w:val="32"/>
          <w:szCs w:val="32"/>
          <w:highlight w:val="none"/>
          <w:lang w:eastAsia="zh-CN"/>
        </w:rPr>
        <w:t>项目</w:t>
      </w:r>
      <w:r>
        <w:rPr>
          <w:rFonts w:hint="eastAsia" w:ascii="黑体" w:hAnsi="黑体" w:eastAsia="黑体"/>
          <w:color w:val="auto"/>
          <w:sz w:val="32"/>
          <w:szCs w:val="32"/>
          <w:highlight w:val="none"/>
        </w:rPr>
        <w:t>支出情况说明</w:t>
      </w:r>
    </w:p>
    <w:p>
      <w:pPr>
        <w:numPr>
          <w:ilvl w:val="0"/>
          <w:numId w:val="0"/>
        </w:numPr>
        <w:spacing w:line="640" w:lineRule="exact"/>
        <w:ind w:firstLine="960" w:firstLineChars="300"/>
        <w:rPr>
          <w:rFonts w:hint="default" w:ascii="黑体" w:hAnsi="黑体" w:eastAsia="黑体"/>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2022年预算支出4910000.00元，比上年预算数增加28.87%，</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黑体" w:eastAsia="仿宋_GB2312"/>
          <w:sz w:val="32"/>
          <w:szCs w:val="32"/>
          <w:highlight w:val="none"/>
          <w:lang w:val="en-US" w:eastAsia="zh-CN"/>
        </w:rPr>
        <w:t>历年项目欠款支出增加</w:t>
      </w:r>
      <w:r>
        <w:rPr>
          <w:rFonts w:hint="eastAsia" w:ascii="仿宋_GB2312" w:hAnsi="黑体" w:eastAsia="仿宋_GB2312"/>
          <w:color w:val="auto"/>
          <w:sz w:val="32"/>
          <w:szCs w:val="32"/>
          <w:highlight w:val="none"/>
          <w:lang w:val="en-US" w:eastAsia="zh-CN"/>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五</w:t>
      </w:r>
      <w:r>
        <w:rPr>
          <w:rFonts w:hint="eastAsia" w:ascii="黑体" w:hAnsi="黑体" w:eastAsia="黑体"/>
          <w:color w:val="auto"/>
          <w:sz w:val="32"/>
          <w:szCs w:val="32"/>
          <w:highlight w:val="none"/>
        </w:rPr>
        <w:t>、部门“三公”经费情况说明</w:t>
      </w:r>
    </w:p>
    <w:p>
      <w:pPr>
        <w:spacing w:line="640" w:lineRule="exact"/>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2022年“三公”经费预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元，主要原因是</w:t>
      </w:r>
      <w:r>
        <w:rPr>
          <w:rFonts w:hint="eastAsia" w:ascii="仿宋_GB2312" w:hAnsi="黑体" w:eastAsia="仿宋_GB2312"/>
          <w:color w:val="auto"/>
          <w:sz w:val="32"/>
          <w:szCs w:val="32"/>
          <w:highlight w:val="none"/>
          <w:lang w:val="en-US" w:eastAsia="zh-CN"/>
        </w:rPr>
        <w:t>无公车。</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无</w:t>
      </w:r>
      <w:r>
        <w:rPr>
          <w:rFonts w:hint="eastAsia" w:ascii="仿宋_GB2312" w:hAnsi="黑体" w:eastAsia="仿宋_GB2312"/>
          <w:color w:val="auto"/>
          <w:sz w:val="32"/>
          <w:szCs w:val="32"/>
          <w:highlight w:val="none"/>
        </w:rPr>
        <w:t>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无</w:t>
      </w:r>
      <w:r>
        <w:rPr>
          <w:rFonts w:hint="eastAsia" w:ascii="仿宋_GB2312" w:hAnsi="黑体" w:eastAsia="仿宋_GB2312"/>
          <w:color w:val="auto"/>
          <w:sz w:val="32"/>
          <w:szCs w:val="32"/>
          <w:highlight w:val="none"/>
        </w:rPr>
        <w:t>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元，比上年预算数增加</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元，其中：公务用车购置费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元，比变化情况；公务用车运行费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元，比上年预算数增长</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元，减少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六</w:t>
      </w:r>
      <w:r>
        <w:rPr>
          <w:rFonts w:hint="eastAsia" w:ascii="黑体" w:hAnsi="黑体" w:eastAsia="黑体"/>
          <w:color w:val="auto"/>
          <w:sz w:val="32"/>
          <w:szCs w:val="32"/>
          <w:highlight w:val="none"/>
        </w:rPr>
        <w:t>、部门机关运行经费及政府采购预算情况说明</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2022年机关运行经费预算</w:t>
      </w:r>
      <w:r>
        <w:rPr>
          <w:rFonts w:hint="eastAsia" w:ascii="仿宋_GB2312" w:hAnsi="黑体" w:eastAsia="仿宋_GB2312"/>
          <w:color w:val="auto"/>
          <w:sz w:val="32"/>
          <w:szCs w:val="32"/>
          <w:highlight w:val="none"/>
          <w:lang w:val="en-US" w:eastAsia="zh-CN"/>
        </w:rPr>
        <w:t>7</w:t>
      </w:r>
      <w:r>
        <w:rPr>
          <w:rFonts w:hint="eastAsia" w:ascii="仿宋_GB2312" w:hAnsi="黑体" w:eastAsia="仿宋_GB2312"/>
          <w:color w:val="auto"/>
          <w:sz w:val="32"/>
          <w:szCs w:val="32"/>
          <w:highlight w:val="none"/>
        </w:rPr>
        <w:t>00000元，比上年预算数</w:t>
      </w:r>
      <w:r>
        <w:rPr>
          <w:rFonts w:hint="eastAsia" w:ascii="仿宋_GB2312" w:hAnsi="黑体" w:eastAsia="仿宋_GB2312"/>
          <w:color w:val="auto"/>
          <w:sz w:val="32"/>
          <w:szCs w:val="32"/>
          <w:highlight w:val="none"/>
          <w:lang w:eastAsia="zh-CN"/>
        </w:rPr>
        <w:t>无变化</w:t>
      </w:r>
      <w:r>
        <w:rPr>
          <w:rFonts w:hint="eastAsia" w:ascii="仿宋_GB2312" w:hAnsi="黑体" w:eastAsia="仿宋_GB2312"/>
          <w:color w:val="auto"/>
          <w:sz w:val="32"/>
          <w:szCs w:val="32"/>
          <w:highlight w:val="none"/>
        </w:rPr>
        <w:t>。政府采购预算211200.00元，比上年预算数增加</w:t>
      </w:r>
      <w:r>
        <w:rPr>
          <w:rFonts w:hint="eastAsia" w:ascii="仿宋_GB2312" w:hAnsi="黑体" w:eastAsia="仿宋_GB2312"/>
          <w:color w:val="auto"/>
          <w:sz w:val="32"/>
          <w:szCs w:val="32"/>
          <w:highlight w:val="none"/>
          <w:lang w:val="en-US" w:eastAsia="zh-CN"/>
        </w:rPr>
        <w:t>11200</w:t>
      </w:r>
      <w:r>
        <w:rPr>
          <w:rFonts w:hint="eastAsia" w:ascii="仿宋_GB2312" w:hAnsi="黑体" w:eastAsia="仿宋_GB2312"/>
          <w:color w:val="auto"/>
          <w:sz w:val="32"/>
          <w:szCs w:val="32"/>
          <w:highlight w:val="none"/>
        </w:rPr>
        <w:t>元，增长</w:t>
      </w:r>
      <w:r>
        <w:rPr>
          <w:rFonts w:hint="eastAsia" w:ascii="仿宋_GB2312" w:hAnsi="黑体" w:eastAsia="仿宋_GB2312"/>
          <w:color w:val="auto"/>
          <w:sz w:val="32"/>
          <w:szCs w:val="32"/>
          <w:highlight w:val="none"/>
          <w:lang w:val="en-US" w:eastAsia="zh-CN"/>
        </w:rPr>
        <w:t>5.3</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政府采购数增加</w:t>
      </w:r>
      <w:r>
        <w:rPr>
          <w:rFonts w:hint="eastAsia" w:ascii="仿宋_GB2312" w:hAnsi="黑体" w:eastAsia="仿宋_GB2312"/>
          <w:color w:val="auto"/>
          <w:sz w:val="32"/>
          <w:szCs w:val="32"/>
          <w:highlight w:val="none"/>
        </w:rPr>
        <w:t>，其中：政府采购货物预算211200.00元，政府采购工程预算</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元，政府采购服务预算</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p>
    <w:p>
      <w:pPr>
        <w:rPr>
          <w:rFonts w:ascii="仿宋_GB2312" w:hAnsi="黑体" w:eastAsia="仿宋_GB2312"/>
          <w:color w:val="auto"/>
          <w:sz w:val="32"/>
          <w:szCs w:val="32"/>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both"/>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6F0A91"/>
    <w:rsid w:val="01F33470"/>
    <w:rsid w:val="03F12C43"/>
    <w:rsid w:val="047D2F82"/>
    <w:rsid w:val="059B00A7"/>
    <w:rsid w:val="060021DC"/>
    <w:rsid w:val="064D410C"/>
    <w:rsid w:val="06746E88"/>
    <w:rsid w:val="06BE6228"/>
    <w:rsid w:val="07EA6CFD"/>
    <w:rsid w:val="09281F8C"/>
    <w:rsid w:val="09FC30DE"/>
    <w:rsid w:val="0A116753"/>
    <w:rsid w:val="0B1D66D8"/>
    <w:rsid w:val="0B896034"/>
    <w:rsid w:val="0C4C20FB"/>
    <w:rsid w:val="0D824E94"/>
    <w:rsid w:val="0E6F37D9"/>
    <w:rsid w:val="112936A0"/>
    <w:rsid w:val="1250416D"/>
    <w:rsid w:val="13B82E0D"/>
    <w:rsid w:val="141D039C"/>
    <w:rsid w:val="17432B85"/>
    <w:rsid w:val="1909264A"/>
    <w:rsid w:val="198119BE"/>
    <w:rsid w:val="1B78482C"/>
    <w:rsid w:val="1C6D1D31"/>
    <w:rsid w:val="1D654F62"/>
    <w:rsid w:val="1ED15BFA"/>
    <w:rsid w:val="204B1966"/>
    <w:rsid w:val="205A7194"/>
    <w:rsid w:val="20F93C89"/>
    <w:rsid w:val="210F4887"/>
    <w:rsid w:val="218B4495"/>
    <w:rsid w:val="22273516"/>
    <w:rsid w:val="2233056C"/>
    <w:rsid w:val="23513756"/>
    <w:rsid w:val="250F1490"/>
    <w:rsid w:val="268E0CB4"/>
    <w:rsid w:val="27710D83"/>
    <w:rsid w:val="290C3002"/>
    <w:rsid w:val="292A0545"/>
    <w:rsid w:val="2B26350E"/>
    <w:rsid w:val="2B5C1C56"/>
    <w:rsid w:val="2BCF3D4E"/>
    <w:rsid w:val="2D550DF7"/>
    <w:rsid w:val="2DBA0562"/>
    <w:rsid w:val="2E131081"/>
    <w:rsid w:val="31352995"/>
    <w:rsid w:val="32957AA8"/>
    <w:rsid w:val="32A96D1A"/>
    <w:rsid w:val="32F26CA9"/>
    <w:rsid w:val="33243C2B"/>
    <w:rsid w:val="3344327C"/>
    <w:rsid w:val="33FD2E3B"/>
    <w:rsid w:val="34032DB0"/>
    <w:rsid w:val="34781430"/>
    <w:rsid w:val="34B82D6F"/>
    <w:rsid w:val="373703E1"/>
    <w:rsid w:val="37580FE7"/>
    <w:rsid w:val="379B34BE"/>
    <w:rsid w:val="396616D2"/>
    <w:rsid w:val="39A71DAE"/>
    <w:rsid w:val="3C522566"/>
    <w:rsid w:val="3CFE26EE"/>
    <w:rsid w:val="3D8C4411"/>
    <w:rsid w:val="40465DD0"/>
    <w:rsid w:val="40CC1D5D"/>
    <w:rsid w:val="416268DB"/>
    <w:rsid w:val="418A6C4E"/>
    <w:rsid w:val="420B38E3"/>
    <w:rsid w:val="452F6292"/>
    <w:rsid w:val="45DB5AF3"/>
    <w:rsid w:val="47A40B72"/>
    <w:rsid w:val="47AF499B"/>
    <w:rsid w:val="484D612A"/>
    <w:rsid w:val="48913E0B"/>
    <w:rsid w:val="48A9072C"/>
    <w:rsid w:val="4D903B41"/>
    <w:rsid w:val="4DA8126D"/>
    <w:rsid w:val="4DD72226"/>
    <w:rsid w:val="4EA300AE"/>
    <w:rsid w:val="50622DD8"/>
    <w:rsid w:val="51C77E42"/>
    <w:rsid w:val="54B1376D"/>
    <w:rsid w:val="55DB13C7"/>
    <w:rsid w:val="56311F34"/>
    <w:rsid w:val="564548F7"/>
    <w:rsid w:val="565305B1"/>
    <w:rsid w:val="56C73340"/>
    <w:rsid w:val="59441D15"/>
    <w:rsid w:val="5A3206F2"/>
    <w:rsid w:val="5F381638"/>
    <w:rsid w:val="61EF1B1B"/>
    <w:rsid w:val="621A3658"/>
    <w:rsid w:val="62B62979"/>
    <w:rsid w:val="64252B6E"/>
    <w:rsid w:val="64EE4C72"/>
    <w:rsid w:val="651520BC"/>
    <w:rsid w:val="661A6258"/>
    <w:rsid w:val="68D07832"/>
    <w:rsid w:val="6A136FDE"/>
    <w:rsid w:val="6A752B54"/>
    <w:rsid w:val="6EA6456E"/>
    <w:rsid w:val="72C714D2"/>
    <w:rsid w:val="73DE2356"/>
    <w:rsid w:val="74517818"/>
    <w:rsid w:val="75840CDB"/>
    <w:rsid w:val="75FA50B5"/>
    <w:rsid w:val="77781E83"/>
    <w:rsid w:val="78062181"/>
    <w:rsid w:val="794965D5"/>
    <w:rsid w:val="79D61FC6"/>
    <w:rsid w:val="7CF82ADB"/>
    <w:rsid w:val="7F2E2508"/>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31"/>
    <w:basedOn w:val="8"/>
    <w:qFormat/>
    <w:uiPriority w:val="0"/>
    <w:rPr>
      <w:rFonts w:hint="eastAsia" w:ascii="宋体" w:hAnsi="宋体" w:eastAsia="宋体" w:cs="宋体"/>
      <w:color w:val="000000"/>
      <w:sz w:val="16"/>
      <w:szCs w:val="16"/>
      <w:u w:val="none"/>
    </w:rPr>
  </w:style>
  <w:style w:type="character" w:customStyle="1" w:styleId="13">
    <w:name w:val="font41"/>
    <w:basedOn w:val="8"/>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4248</Words>
  <Characters>4830</Characters>
  <Lines>16</Lines>
  <Paragraphs>4</Paragraphs>
  <TotalTime>0</TotalTime>
  <ScaleCrop>false</ScaleCrop>
  <LinksUpToDate>false</LinksUpToDate>
  <CharactersWithSpaces>4889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2023-06-08T11:36:44Z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E569EDE382D9499284C9D8BB2A85EB4A_13</vt:lpwstr>
  </property>
</Properties>
</file>