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附件1：</w:t>
      </w:r>
    </w:p>
    <w:p>
      <w:pPr>
        <w:rPr>
          <w:rFonts w:hint="eastAsia" w:ascii="华文仿宋" w:hAnsi="华文仿宋" w:eastAsia="华文仿宋" w:cs="华文仿宋"/>
          <w:color w:val="000000" w:themeColor="text1"/>
          <w:sz w:val="28"/>
          <w:szCs w:val="28"/>
          <w14:textFill>
            <w14:solidFill>
              <w14:schemeClr w14:val="tx1"/>
            </w14:solidFill>
          </w14:textFill>
        </w:rPr>
      </w:pPr>
    </w:p>
    <w:p>
      <w:pPr>
        <w:jc w:val="center"/>
        <w:rPr>
          <w:rFonts w:hint="eastAsia" w:ascii="华文仿宋" w:hAnsi="华文仿宋" w:eastAsia="华文仿宋" w:cs="华文仿宋"/>
          <w:b/>
          <w:bCs/>
          <w:color w:val="000000" w:themeColor="text1"/>
          <w:sz w:val="44"/>
          <w:szCs w:val="44"/>
          <w14:textFill>
            <w14:solidFill>
              <w14:schemeClr w14:val="tx1"/>
            </w14:solidFill>
          </w14:textFill>
        </w:rPr>
      </w:pPr>
      <w:r>
        <w:rPr>
          <w:rFonts w:hint="eastAsia" w:ascii="华文仿宋" w:hAnsi="华文仿宋" w:eastAsia="华文仿宋" w:cs="华文仿宋"/>
          <w:b/>
          <w:bCs/>
          <w:color w:val="000000" w:themeColor="text1"/>
          <w:sz w:val="44"/>
          <w:szCs w:val="44"/>
          <w:lang w:val="en-US" w:eastAsia="zh-CN"/>
          <w14:textFill>
            <w14:solidFill>
              <w14:schemeClr w14:val="tx1"/>
            </w14:solidFill>
          </w14:textFill>
        </w:rPr>
        <w:t>东塬学区</w:t>
      </w:r>
      <w:r>
        <w:rPr>
          <w:rFonts w:hint="eastAsia" w:ascii="华文仿宋" w:hAnsi="华文仿宋" w:eastAsia="华文仿宋" w:cs="华文仿宋"/>
          <w:b/>
          <w:bCs/>
          <w:color w:val="000000" w:themeColor="text1"/>
          <w:sz w:val="44"/>
          <w:szCs w:val="44"/>
          <w:lang w:eastAsia="zh-CN"/>
          <w14:textFill>
            <w14:solidFill>
              <w14:schemeClr w14:val="tx1"/>
            </w14:solidFill>
          </w14:textFill>
        </w:rPr>
        <w:t>20</w:t>
      </w:r>
      <w:r>
        <w:rPr>
          <w:rFonts w:hint="eastAsia" w:ascii="华文仿宋" w:hAnsi="华文仿宋" w:eastAsia="华文仿宋" w:cs="华文仿宋"/>
          <w:b/>
          <w:bCs/>
          <w:color w:val="000000" w:themeColor="text1"/>
          <w:sz w:val="44"/>
          <w:szCs w:val="44"/>
          <w:lang w:val="en-US" w:eastAsia="zh-CN"/>
          <w14:textFill>
            <w14:solidFill>
              <w14:schemeClr w14:val="tx1"/>
            </w14:solidFill>
          </w14:textFill>
        </w:rPr>
        <w:t>21</w:t>
      </w:r>
      <w:r>
        <w:rPr>
          <w:rFonts w:hint="eastAsia" w:ascii="华文仿宋" w:hAnsi="华文仿宋" w:eastAsia="华文仿宋" w:cs="华文仿宋"/>
          <w:b/>
          <w:bCs/>
          <w:color w:val="000000" w:themeColor="text1"/>
          <w:sz w:val="44"/>
          <w:szCs w:val="44"/>
          <w:lang w:eastAsia="zh-CN"/>
          <w14:textFill>
            <w14:solidFill>
              <w14:schemeClr w14:val="tx1"/>
            </w14:solidFill>
          </w14:textFill>
        </w:rPr>
        <w:t>年</w:t>
      </w:r>
      <w:r>
        <w:rPr>
          <w:rFonts w:hint="eastAsia" w:ascii="华文仿宋" w:hAnsi="华文仿宋" w:eastAsia="华文仿宋" w:cs="华文仿宋"/>
          <w:b/>
          <w:bCs/>
          <w:color w:val="000000" w:themeColor="text1"/>
          <w:sz w:val="44"/>
          <w:szCs w:val="44"/>
          <w14:textFill>
            <w14:solidFill>
              <w14:schemeClr w14:val="tx1"/>
            </w14:solidFill>
          </w14:textFill>
        </w:rPr>
        <w:t>度部门决算情况说明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hint="eastAsia" w:ascii="华文仿宋" w:hAnsi="华文仿宋" w:eastAsia="华文仿宋" w:cs="华文仿宋"/>
          <w:color w:val="000000" w:themeColor="text1"/>
          <w:sz w:val="28"/>
          <w:szCs w:val="28"/>
          <w14:textFill>
            <w14:solidFill>
              <w14:schemeClr w14:val="tx1"/>
            </w14:solidFill>
          </w14:textFill>
        </w:rPr>
      </w:pP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一、部门基本情况</w:t>
      </w:r>
    </w:p>
    <w:p>
      <w:pPr>
        <w:ind w:firstLine="562"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（一）职能职责</w:t>
      </w:r>
    </w:p>
    <w:p>
      <w:pPr>
        <w:spacing w:line="600" w:lineRule="exact"/>
        <w:ind w:firstLine="560" w:firstLineChars="200"/>
        <w:jc w:val="left"/>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val="0"/>
          <w:bCs w:val="0"/>
          <w:i w:val="0"/>
          <w:iCs w:val="0"/>
          <w:color w:val="000000" w:themeColor="text1"/>
          <w:sz w:val="28"/>
          <w:szCs w:val="28"/>
          <w:lang w:eastAsia="zh-CN"/>
          <w14:textFill>
            <w14:solidFill>
              <w14:schemeClr w14:val="tx1"/>
            </w14:solidFill>
          </w14:textFill>
        </w:rPr>
        <w:t>东塬</w:t>
      </w:r>
      <w:r>
        <w:rPr>
          <w:rFonts w:hint="eastAsia" w:ascii="华文仿宋" w:hAnsi="华文仿宋" w:eastAsia="华文仿宋" w:cs="华文仿宋"/>
          <w:color w:val="000000" w:themeColor="text1"/>
          <w:sz w:val="28"/>
          <w:szCs w:val="28"/>
          <w14:textFill>
            <w14:solidFill>
              <w14:schemeClr w14:val="tx1"/>
            </w14:solidFill>
          </w14:textFill>
        </w:rPr>
        <w:t>学区位于</w:t>
      </w:r>
      <w:r>
        <w:rPr>
          <w:rFonts w:hint="eastAsia" w:ascii="华文仿宋" w:hAnsi="华文仿宋" w:eastAsia="华文仿宋" w:cs="华文仿宋"/>
          <w:color w:val="000000" w:themeColor="text1"/>
          <w:sz w:val="28"/>
          <w:szCs w:val="28"/>
          <w:lang w:eastAsia="zh-CN"/>
          <w14:textFill>
            <w14:solidFill>
              <w14:schemeClr w14:val="tx1"/>
            </w14:solidFill>
          </w14:textFill>
        </w:rPr>
        <w:t>东塬乡</w:t>
      </w:r>
      <w:r>
        <w:rPr>
          <w:rFonts w:hint="eastAsia" w:ascii="华文仿宋" w:hAnsi="华文仿宋" w:eastAsia="华文仿宋" w:cs="华文仿宋"/>
          <w:color w:val="000000" w:themeColor="text1"/>
          <w:sz w:val="28"/>
          <w:szCs w:val="28"/>
          <w14:textFill>
            <w14:solidFill>
              <w14:schemeClr w14:val="tx1"/>
            </w14:solidFill>
          </w14:textFill>
        </w:rPr>
        <w:t>，学区由</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w:t>
      </w:r>
      <w:r>
        <w:rPr>
          <w:rFonts w:hint="eastAsia" w:ascii="华文仿宋" w:hAnsi="华文仿宋" w:eastAsia="华文仿宋" w:cs="华文仿宋"/>
          <w:color w:val="000000" w:themeColor="text1"/>
          <w:sz w:val="28"/>
          <w:szCs w:val="28"/>
          <w14:textFill>
            <w14:solidFill>
              <w14:schemeClr w14:val="tx1"/>
            </w14:solidFill>
          </w14:textFill>
        </w:rPr>
        <w:t>所中心小学，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w:t>
      </w:r>
      <w:r>
        <w:rPr>
          <w:rFonts w:hint="eastAsia" w:ascii="华文仿宋" w:hAnsi="华文仿宋" w:eastAsia="华文仿宋" w:cs="华文仿宋"/>
          <w:color w:val="000000" w:themeColor="text1"/>
          <w:sz w:val="28"/>
          <w:szCs w:val="28"/>
          <w14:textFill>
            <w14:solidFill>
              <w14:schemeClr w14:val="tx1"/>
            </w14:solidFill>
          </w14:textFill>
        </w:rPr>
        <w:t>所村小，其中</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刘牙、牙胡家、毛沟、窑洞山</w:t>
      </w:r>
      <w:r>
        <w:rPr>
          <w:rFonts w:hint="eastAsia" w:ascii="华文仿宋" w:hAnsi="华文仿宋" w:eastAsia="华文仿宋" w:cs="华文仿宋"/>
          <w:color w:val="000000" w:themeColor="text1"/>
          <w:sz w:val="28"/>
          <w:szCs w:val="28"/>
          <w14:textFill>
            <w14:solidFill>
              <w14:schemeClr w14:val="tx1"/>
            </w14:solidFill>
          </w14:textFill>
        </w:rPr>
        <w:t>为教学点，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11</w:t>
      </w:r>
      <w:r>
        <w:rPr>
          <w:rFonts w:hint="eastAsia" w:ascii="华文仿宋" w:hAnsi="华文仿宋" w:eastAsia="华文仿宋" w:cs="华文仿宋"/>
          <w:color w:val="000000" w:themeColor="text1"/>
          <w:sz w:val="28"/>
          <w:szCs w:val="28"/>
          <w14:textFill>
            <w14:solidFill>
              <w14:schemeClr w14:val="tx1"/>
            </w14:solidFill>
          </w14:textFill>
        </w:rPr>
        <w:t>所幼儿园，共计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19</w:t>
      </w:r>
      <w:r>
        <w:rPr>
          <w:rFonts w:hint="eastAsia" w:ascii="华文仿宋" w:hAnsi="华文仿宋" w:eastAsia="华文仿宋" w:cs="华文仿宋"/>
          <w:color w:val="000000" w:themeColor="text1"/>
          <w:sz w:val="28"/>
          <w:szCs w:val="28"/>
          <w14:textFill>
            <w14:solidFill>
              <w14:schemeClr w14:val="tx1"/>
            </w14:solidFill>
          </w14:textFill>
        </w:rPr>
        <w:t>个机构。服务半径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5</w:t>
      </w:r>
      <w:r>
        <w:rPr>
          <w:rFonts w:hint="eastAsia" w:ascii="华文仿宋" w:hAnsi="华文仿宋" w:eastAsia="华文仿宋" w:cs="华文仿宋"/>
          <w:color w:val="000000" w:themeColor="text1"/>
          <w:sz w:val="28"/>
          <w:szCs w:val="28"/>
          <w14:textFill>
            <w14:solidFill>
              <w14:schemeClr w14:val="tx1"/>
            </w14:solidFill>
          </w14:textFill>
        </w:rPr>
        <w:t>公里，辐射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11</w:t>
      </w:r>
      <w:r>
        <w:rPr>
          <w:rFonts w:hint="eastAsia" w:ascii="华文仿宋" w:hAnsi="华文仿宋" w:eastAsia="华文仿宋" w:cs="华文仿宋"/>
          <w:color w:val="000000" w:themeColor="text1"/>
          <w:sz w:val="28"/>
          <w:szCs w:val="28"/>
          <w14:textFill>
            <w14:solidFill>
              <w14:schemeClr w14:val="tx1"/>
            </w14:solidFill>
          </w14:textFill>
        </w:rPr>
        <w:t>个行政村。学区内共有</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87</w:t>
      </w:r>
      <w:r>
        <w:rPr>
          <w:rFonts w:hint="eastAsia" w:ascii="华文仿宋" w:hAnsi="华文仿宋" w:eastAsia="华文仿宋" w:cs="华文仿宋"/>
          <w:color w:val="000000" w:themeColor="text1"/>
          <w:sz w:val="28"/>
          <w:szCs w:val="28"/>
          <w14:textFill>
            <w14:solidFill>
              <w14:schemeClr w14:val="tx1"/>
            </w14:solidFill>
          </w14:textFill>
        </w:rPr>
        <w:t>个教学班，</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2237</w:t>
      </w:r>
      <w:r>
        <w:rPr>
          <w:rFonts w:hint="eastAsia" w:ascii="华文仿宋" w:hAnsi="华文仿宋" w:eastAsia="华文仿宋" w:cs="华文仿宋"/>
          <w:color w:val="000000" w:themeColor="text1"/>
          <w:sz w:val="28"/>
          <w:szCs w:val="28"/>
          <w14:textFill>
            <w14:solidFill>
              <w14:schemeClr w14:val="tx1"/>
            </w14:solidFill>
          </w14:textFill>
        </w:rPr>
        <w:t>名学生。学区建筑面积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9371</w:t>
      </w:r>
      <w:r>
        <w:rPr>
          <w:rFonts w:hint="eastAsia" w:ascii="华文仿宋" w:hAnsi="华文仿宋" w:eastAsia="华文仿宋" w:cs="华文仿宋"/>
          <w:color w:val="000000" w:themeColor="text1"/>
          <w:sz w:val="28"/>
          <w:szCs w:val="28"/>
          <w14:textFill>
            <w14:solidFill>
              <w14:schemeClr w14:val="tx1"/>
            </w14:solidFill>
          </w14:textFill>
        </w:rPr>
        <w:t>平方米，图书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14:textFill>
            <w14:solidFill>
              <w14:schemeClr w14:val="tx1"/>
            </w14:solidFill>
          </w14:textFill>
        </w:rPr>
        <w:t>万册，。</w:t>
      </w:r>
    </w:p>
    <w:p>
      <w:pPr>
        <w:spacing w:line="600" w:lineRule="exact"/>
        <w:ind w:firstLine="560" w:firstLineChars="200"/>
        <w:jc w:val="left"/>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学区现有教职工</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195</w:t>
      </w:r>
      <w:r>
        <w:rPr>
          <w:rFonts w:hint="eastAsia" w:ascii="华文仿宋" w:hAnsi="华文仿宋" w:eastAsia="华文仿宋" w:cs="华文仿宋"/>
          <w:color w:val="000000" w:themeColor="text1"/>
          <w:sz w:val="28"/>
          <w:szCs w:val="28"/>
          <w14:textFill>
            <w14:solidFill>
              <w14:schemeClr w14:val="tx1"/>
            </w14:solidFill>
          </w14:textFill>
        </w:rPr>
        <w:t>名，其中教学人员</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183</w:t>
      </w:r>
      <w:r>
        <w:rPr>
          <w:rFonts w:hint="eastAsia" w:ascii="华文仿宋" w:hAnsi="华文仿宋" w:eastAsia="华文仿宋" w:cs="华文仿宋"/>
          <w:color w:val="000000" w:themeColor="text1"/>
          <w:sz w:val="28"/>
          <w:szCs w:val="28"/>
          <w14:textFill>
            <w14:solidFill>
              <w14:schemeClr w14:val="tx1"/>
            </w14:solidFill>
          </w14:textFill>
        </w:rPr>
        <w:t>名，代课教师</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12</w:t>
      </w:r>
      <w:r>
        <w:rPr>
          <w:rFonts w:hint="eastAsia" w:ascii="华文仿宋" w:hAnsi="华文仿宋" w:eastAsia="华文仿宋" w:cs="华文仿宋"/>
          <w:color w:val="000000" w:themeColor="text1"/>
          <w:sz w:val="28"/>
          <w:szCs w:val="28"/>
          <w14:textFill>
            <w14:solidFill>
              <w14:schemeClr w14:val="tx1"/>
            </w14:solidFill>
          </w14:textFill>
        </w:rPr>
        <w:t>名。本科学历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140</w:t>
      </w:r>
      <w:r>
        <w:rPr>
          <w:rFonts w:hint="eastAsia" w:ascii="华文仿宋" w:hAnsi="华文仿宋" w:eastAsia="华文仿宋" w:cs="华文仿宋"/>
          <w:color w:val="000000" w:themeColor="text1"/>
          <w:sz w:val="28"/>
          <w:szCs w:val="28"/>
          <w14:textFill>
            <w14:solidFill>
              <w14:schemeClr w14:val="tx1"/>
            </w14:solidFill>
          </w14:textFill>
        </w:rPr>
        <w:t>名，大专学历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32</w:t>
      </w:r>
      <w:r>
        <w:rPr>
          <w:rFonts w:hint="eastAsia" w:ascii="华文仿宋" w:hAnsi="华文仿宋" w:eastAsia="华文仿宋" w:cs="华文仿宋"/>
          <w:color w:val="000000" w:themeColor="text1"/>
          <w:sz w:val="28"/>
          <w:szCs w:val="28"/>
          <w14:textFill>
            <w14:solidFill>
              <w14:schemeClr w14:val="tx1"/>
            </w14:solidFill>
          </w14:textFill>
        </w:rPr>
        <w:t>名，中专学历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11</w:t>
      </w:r>
      <w:r>
        <w:rPr>
          <w:rFonts w:hint="eastAsia" w:ascii="华文仿宋" w:hAnsi="华文仿宋" w:eastAsia="华文仿宋" w:cs="华文仿宋"/>
          <w:color w:val="000000" w:themeColor="text1"/>
          <w:sz w:val="28"/>
          <w:szCs w:val="28"/>
          <w14:textFill>
            <w14:solidFill>
              <w14:schemeClr w14:val="tx1"/>
            </w14:solidFill>
          </w14:textFill>
        </w:rPr>
        <w:t>名，高级职称</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20</w:t>
      </w:r>
      <w:r>
        <w:rPr>
          <w:rFonts w:hint="eastAsia" w:ascii="华文仿宋" w:hAnsi="华文仿宋" w:eastAsia="华文仿宋" w:cs="华文仿宋"/>
          <w:color w:val="000000" w:themeColor="text1"/>
          <w:sz w:val="28"/>
          <w:szCs w:val="28"/>
          <w14:textFill>
            <w14:solidFill>
              <w14:schemeClr w14:val="tx1"/>
            </w14:solidFill>
          </w14:textFill>
        </w:rPr>
        <w:t>名，中级职称</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150</w:t>
      </w:r>
      <w:r>
        <w:rPr>
          <w:rFonts w:hint="eastAsia" w:ascii="华文仿宋" w:hAnsi="华文仿宋" w:eastAsia="华文仿宋" w:cs="华文仿宋"/>
          <w:color w:val="000000" w:themeColor="text1"/>
          <w:sz w:val="28"/>
          <w:szCs w:val="28"/>
          <w14:textFill>
            <w14:solidFill>
              <w14:schemeClr w14:val="tx1"/>
            </w14:solidFill>
          </w14:textFill>
        </w:rPr>
        <w:t>名，初级职称</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13</w:t>
      </w:r>
      <w:r>
        <w:rPr>
          <w:rFonts w:hint="eastAsia" w:ascii="华文仿宋" w:hAnsi="华文仿宋" w:eastAsia="华文仿宋" w:cs="华文仿宋"/>
          <w:color w:val="000000" w:themeColor="text1"/>
          <w:sz w:val="28"/>
          <w:szCs w:val="28"/>
          <w14:textFill>
            <w14:solidFill>
              <w14:schemeClr w14:val="tx1"/>
            </w14:solidFill>
          </w14:textFill>
        </w:rPr>
        <w:t>名，持有教师资格证的有</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195</w:t>
      </w:r>
      <w:r>
        <w:rPr>
          <w:rFonts w:hint="eastAsia" w:ascii="华文仿宋" w:hAnsi="华文仿宋" w:eastAsia="华文仿宋" w:cs="华文仿宋"/>
          <w:color w:val="000000" w:themeColor="text1"/>
          <w:sz w:val="28"/>
          <w:szCs w:val="28"/>
          <w14:textFill>
            <w14:solidFill>
              <w14:schemeClr w14:val="tx1"/>
            </w14:solidFill>
          </w14:textFill>
        </w:rPr>
        <w:t>名。</w:t>
      </w:r>
    </w:p>
    <w:p>
      <w:pPr>
        <w:spacing w:line="56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中心小学位于东乡县</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东塬乡林家村</w:t>
      </w:r>
      <w:r>
        <w:rPr>
          <w:rFonts w:hint="eastAsia" w:ascii="华文仿宋" w:hAnsi="华文仿宋" w:eastAsia="华文仿宋" w:cs="华文仿宋"/>
          <w:color w:val="000000" w:themeColor="text1"/>
          <w:sz w:val="28"/>
          <w:szCs w:val="28"/>
          <w14:textFill>
            <w14:solidFill>
              <w14:schemeClr w14:val="tx1"/>
            </w14:solidFill>
          </w14:textFill>
        </w:rPr>
        <w:t>，始建于1952年，是一所九年一贯制乡中心学校。占地面积为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10791.4</w:t>
      </w:r>
      <w:r>
        <w:rPr>
          <w:rFonts w:hint="eastAsia" w:ascii="华文仿宋" w:hAnsi="华文仿宋" w:eastAsia="华文仿宋" w:cs="华文仿宋"/>
          <w:color w:val="000000" w:themeColor="text1"/>
          <w:sz w:val="28"/>
          <w:szCs w:val="28"/>
          <w14:textFill>
            <w14:solidFill>
              <w14:schemeClr w14:val="tx1"/>
            </w14:solidFill>
          </w14:textFill>
        </w:rPr>
        <w:t>平方米，建筑面积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6865</w:t>
      </w:r>
      <w:r>
        <w:rPr>
          <w:rFonts w:hint="eastAsia" w:ascii="华文仿宋" w:hAnsi="华文仿宋" w:eastAsia="华文仿宋" w:cs="华文仿宋"/>
          <w:color w:val="000000" w:themeColor="text1"/>
          <w:sz w:val="28"/>
          <w:szCs w:val="28"/>
          <w14:textFill>
            <w14:solidFill>
              <w14:schemeClr w14:val="tx1"/>
            </w14:solidFill>
          </w14:textFill>
        </w:rPr>
        <w:t>平方米。。学校重视班级文化建设，强化了班级管理、完善了班级常规考核机制，加强了班主任的常规工作要求。为了加强校园安全，学校采用封闭式管理模式。为抓好学生巩固，从学生管理入手，对已入学的学生加强学籍管理，制定家访制度，宣传动员群众提高认识。制定学校发展规划，加强师生道德建设，努力创建和谐校园，使学校向着积极健康的方向发展。</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今后的奋斗目标是：今后学校将以和谐创新为内涵，以个性化教学为亮点，以彰显学生综合素质、培养学生知行能力与创新精神为追求，努力创建县内领先的九年制学校。</w:t>
      </w:r>
    </w:p>
    <w:p>
      <w:pPr>
        <w:spacing w:line="56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p>
    <w:p>
      <w:pPr>
        <w:ind w:firstLine="562"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（二）机构设置</w:t>
      </w:r>
    </w:p>
    <w:p>
      <w:pPr>
        <w:numPr>
          <w:ilvl w:val="0"/>
          <w:numId w:val="0"/>
        </w:numPr>
        <w:spacing w:line="60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val="en-US" w:eastAsia="zh-CN"/>
          <w14:textFill>
            <w14:solidFill>
              <w14:schemeClr w14:val="tx1"/>
            </w14:solidFill>
          </w14:textFill>
        </w:rPr>
        <w:t>1、</w:t>
      </w:r>
      <w:r>
        <w:rPr>
          <w:rFonts w:hint="eastAsia" w:ascii="华文仿宋" w:hAnsi="华文仿宋" w:eastAsia="华文仿宋" w:cs="华文仿宋"/>
          <w:color w:val="000000" w:themeColor="text1"/>
          <w:sz w:val="28"/>
          <w:szCs w:val="28"/>
          <w14:textFill>
            <w14:solidFill>
              <w14:schemeClr w14:val="tx1"/>
            </w14:solidFill>
          </w14:textFill>
        </w:rPr>
        <w:t>纳入20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14:textFill>
            <w14:solidFill>
              <w14:schemeClr w14:val="tx1"/>
            </w14:solidFill>
          </w14:textFill>
        </w:rPr>
        <w:t>年度部门决算汇编范围的独立核算单位共1个，其中：独立报送单户报表的单位1个。</w:t>
      </w:r>
    </w:p>
    <w:p>
      <w:pPr>
        <w:spacing w:line="60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2、单位分类情况说明</w:t>
      </w:r>
    </w:p>
    <w:p>
      <w:pPr>
        <w:spacing w:line="600" w:lineRule="exact"/>
        <w:ind w:firstLine="700" w:firstLineChars="25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事业单位1个。</w:t>
      </w:r>
    </w:p>
    <w:p>
      <w:pPr>
        <w:spacing w:line="60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3、单位预算级次说明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一级预算单位1个，与上年一样</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本部分至少应包含本部门职责、机构设置两项详细信息，如有其他需要说明的情况，应单独在此进行补充说明。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二、</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度部门决算报表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表一：收入支出决算总表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表二：收入决算表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表三：支出决算表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表四：财政拨款收入支出决算总表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表五：一般公共预算财政拨款支出决算表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表六：一般公共预算财政拨款基本支出决算表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表七：一般公共预算财政拨款“三公”经费支出决算表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表八：政府性基金预算财政拨款收入支出决算表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三、</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度部门决算情况说明</w:t>
      </w:r>
    </w:p>
    <w:p>
      <w:pPr>
        <w:ind w:firstLine="562"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（一）收入支出决算总体情况说明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 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度收入总计</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，支出总计</w:t>
      </w:r>
      <w:r>
        <w:rPr>
          <w:rFonts w:hint="eastAsia" w:ascii="华文仿宋" w:hAnsi="华文仿宋" w:eastAsia="华文仿宋" w:cs="华文仿宋"/>
          <w:color w:val="000000" w:themeColor="text1"/>
          <w:sz w:val="28"/>
          <w:szCs w:val="28"/>
          <w:lang w:eastAsia="zh-CN"/>
          <w14:textFill>
            <w14:solidFill>
              <w14:schemeClr w14:val="tx1"/>
            </w14:solidFill>
          </w14:textFill>
        </w:rPr>
        <w:t>20627620.6元</w:t>
      </w:r>
      <w:r>
        <w:rPr>
          <w:rFonts w:hint="eastAsia" w:ascii="华文仿宋" w:hAnsi="华文仿宋" w:eastAsia="华文仿宋" w:cs="华文仿宋"/>
          <w:color w:val="000000" w:themeColor="text1"/>
          <w:sz w:val="28"/>
          <w:szCs w:val="28"/>
          <w14:textFill>
            <w14:solidFill>
              <w14:schemeClr w14:val="tx1"/>
            </w14:solidFill>
          </w14:textFill>
        </w:rPr>
        <w:t>。与</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20</w:t>
      </w:r>
      <w:r>
        <w:rPr>
          <w:rFonts w:hint="eastAsia" w:ascii="华文仿宋" w:hAnsi="华文仿宋" w:eastAsia="华文仿宋" w:cs="华文仿宋"/>
          <w:color w:val="000000" w:themeColor="text1"/>
          <w:sz w:val="28"/>
          <w:szCs w:val="28"/>
          <w14:textFill>
            <w14:solidFill>
              <w14:schemeClr w14:val="tx1"/>
            </w14:solidFill>
          </w14:textFill>
        </w:rPr>
        <w:t>年决算数相比，收入增加</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主要原因是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学生数逐年增加，四类学生资助项目增加，所以两免一补教育经费也相应增加，还有教师工资的提高</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度收入合计</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，其中：财政拨款收入</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100</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度支出合计</w:t>
      </w:r>
      <w:r>
        <w:rPr>
          <w:rFonts w:hint="eastAsia" w:ascii="华文仿宋" w:hAnsi="华文仿宋" w:eastAsia="华文仿宋" w:cs="华文仿宋"/>
          <w:color w:val="000000" w:themeColor="text1"/>
          <w:sz w:val="28"/>
          <w:szCs w:val="28"/>
          <w:lang w:eastAsia="zh-CN"/>
          <w14:textFill>
            <w14:solidFill>
              <w14:schemeClr w14:val="tx1"/>
            </w14:solidFill>
          </w14:textFill>
        </w:rPr>
        <w:t>20627620.6元</w:t>
      </w:r>
      <w:r>
        <w:rPr>
          <w:rFonts w:hint="eastAsia" w:ascii="华文仿宋" w:hAnsi="华文仿宋" w:eastAsia="华文仿宋" w:cs="华文仿宋"/>
          <w:color w:val="000000" w:themeColor="text1"/>
          <w:sz w:val="28"/>
          <w:szCs w:val="28"/>
          <w14:textFill>
            <w14:solidFill>
              <w14:schemeClr w14:val="tx1"/>
            </w14:solidFill>
          </w14:textFill>
        </w:rPr>
        <w:t>，其中：基本支出</w:t>
      </w:r>
      <w:r>
        <w:rPr>
          <w:rFonts w:hint="eastAsia" w:ascii="华文仿宋" w:hAnsi="华文仿宋" w:eastAsia="华文仿宋" w:cs="华文仿宋"/>
          <w:color w:val="000000" w:themeColor="text1"/>
          <w:sz w:val="28"/>
          <w:szCs w:val="28"/>
          <w:lang w:eastAsia="zh-CN"/>
          <w14:textFill>
            <w14:solidFill>
              <w14:schemeClr w14:val="tx1"/>
            </w14:solidFill>
          </w14:textFill>
        </w:rPr>
        <w:t>20627620.6元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100</w:t>
      </w:r>
      <w:r>
        <w:rPr>
          <w:rFonts w:hint="eastAsia" w:ascii="华文仿宋" w:hAnsi="华文仿宋" w:eastAsia="华文仿宋" w:cs="华文仿宋"/>
          <w:color w:val="000000" w:themeColor="text1"/>
          <w:sz w:val="28"/>
          <w:szCs w:val="28"/>
          <w14:textFill>
            <w14:solidFill>
              <w14:schemeClr w14:val="tx1"/>
            </w14:solidFill>
          </w14:textFill>
        </w:rPr>
        <w:t xml:space="preserve">%； </w:t>
      </w:r>
    </w:p>
    <w:p>
      <w:pPr>
        <w:rPr>
          <w:rFonts w:hint="eastAsia" w:ascii="华文仿宋" w:hAnsi="华文仿宋" w:eastAsia="华文仿宋" w:cs="华文仿宋"/>
          <w:color w:val="000000" w:themeColor="text1"/>
          <w:sz w:val="28"/>
          <w:szCs w:val="28"/>
          <w14:textFill>
            <w14:solidFill>
              <w14:schemeClr w14:val="tx1"/>
            </w14:solidFill>
          </w14:textFill>
        </w:rPr>
      </w:pPr>
    </w:p>
    <w:p>
      <w:pPr>
        <w:ind w:firstLine="562"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（二）财政拨款收入支出决算总体情况说明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度财政拨款收入</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，较上年决算数增加。主要原因是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学生数逐年增加，四类学生资助项目增加，所以两免一补教育经费也相应增加，还有教师工资的提高</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度财政拨款支出</w:t>
      </w:r>
      <w:r>
        <w:rPr>
          <w:rFonts w:hint="eastAsia" w:ascii="华文仿宋" w:hAnsi="华文仿宋" w:eastAsia="华文仿宋" w:cs="华文仿宋"/>
          <w:color w:val="000000" w:themeColor="text1"/>
          <w:sz w:val="28"/>
          <w:szCs w:val="28"/>
          <w:lang w:eastAsia="zh-CN"/>
          <w14:textFill>
            <w14:solidFill>
              <w14:schemeClr w14:val="tx1"/>
            </w14:solidFill>
          </w14:textFill>
        </w:rPr>
        <w:t>20627620.6元</w:t>
      </w:r>
      <w:r>
        <w:rPr>
          <w:rFonts w:hint="eastAsia" w:ascii="华文仿宋" w:hAnsi="华文仿宋" w:eastAsia="华文仿宋" w:cs="华文仿宋"/>
          <w:color w:val="000000" w:themeColor="text1"/>
          <w:sz w:val="28"/>
          <w:szCs w:val="28"/>
          <w14:textFill>
            <w14:solidFill>
              <w14:schemeClr w14:val="tx1"/>
            </w14:solidFill>
          </w14:textFill>
        </w:rPr>
        <w:t>，较上年决算数增加。主要原因是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学生数逐年增加，四类学生资助项目增加，所以两免一补教育经费也相应增加.还有教师工资的提高</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，增长</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部分支出年初未申请财政拨款预算，而是按规定通过使用以前年度财政拨款结转和结余资金解决等</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度财政拨款支出主要用于以下方面：一般公共服务支出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，主要原因是......；外交支出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 xml:space="preserve">%，较年初预算数增加 </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，主要原因是......；国防支出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，主要原因是......；公共安全支出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，主要原因是......；教育支出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，主要原因是......；科学技术支出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 xml:space="preserve">%，较年初预算数增加 </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，主要原因是......；文化</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旅游</w:t>
      </w:r>
      <w:r>
        <w:rPr>
          <w:rFonts w:hint="eastAsia" w:ascii="华文仿宋" w:hAnsi="华文仿宋" w:eastAsia="华文仿宋" w:cs="华文仿宋"/>
          <w:color w:val="000000" w:themeColor="text1"/>
          <w:sz w:val="28"/>
          <w:szCs w:val="28"/>
          <w14:textFill>
            <w14:solidFill>
              <w14:schemeClr w14:val="tx1"/>
            </w14:solidFill>
          </w14:textFill>
        </w:rPr>
        <w:t>体育与传媒支出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，主要原因是......；社会保障与就业支出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卫生健康</w:t>
      </w:r>
      <w:r>
        <w:rPr>
          <w:rFonts w:hint="eastAsia" w:ascii="华文仿宋" w:hAnsi="华文仿宋" w:eastAsia="华文仿宋" w:cs="华文仿宋"/>
          <w:color w:val="000000" w:themeColor="text1"/>
          <w:sz w:val="28"/>
          <w:szCs w:val="28"/>
          <w14:textFill>
            <w14:solidFill>
              <w14:schemeClr w14:val="tx1"/>
            </w14:solidFill>
          </w14:textFill>
        </w:rPr>
        <w:t>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，主要原因是......；节能环保支出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，主要原因是......；城乡社区支出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，主要原因是......；农林水支出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 xml:space="preserve">%，较年初预算数增加 </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，主要原因是......；交通运输支出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，主要原因是......；资源勘探信息等支出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w:t>
      </w:r>
    </w:p>
    <w:p>
      <w:pPr>
        <w:ind w:firstLine="562"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（三）一般公共预算财政拨款基本支出决算情况说明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度一般公共财政拨款基本支出</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。其中：当年工资福利支出具体支出数和所占总支出的比重。工资福利支出：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20627620.60</w:t>
      </w:r>
      <w:r>
        <w:rPr>
          <w:rFonts w:hint="eastAsia" w:ascii="华文仿宋" w:hAnsi="华文仿宋" w:eastAsia="华文仿宋" w:cs="华文仿宋"/>
          <w:color w:val="000000" w:themeColor="text1"/>
          <w:sz w:val="28"/>
          <w:szCs w:val="28"/>
          <w14:textFill>
            <w14:solidFill>
              <w14:schemeClr w14:val="tx1"/>
            </w14:solidFill>
          </w14:textFill>
        </w:rPr>
        <w:t>元；其中基本工资：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8881576.28</w:t>
      </w:r>
      <w:r>
        <w:rPr>
          <w:rFonts w:hint="eastAsia" w:ascii="华文仿宋" w:hAnsi="华文仿宋" w:eastAsia="华文仿宋" w:cs="华文仿宋"/>
          <w:color w:val="000000" w:themeColor="text1"/>
          <w:sz w:val="28"/>
          <w:szCs w:val="28"/>
          <w14:textFill>
            <w14:solidFill>
              <w14:schemeClr w14:val="tx1"/>
            </w14:solidFill>
          </w14:textFill>
        </w:rPr>
        <w:t>元；津贴补贴：</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5941178</w:t>
      </w:r>
      <w:r>
        <w:rPr>
          <w:rFonts w:hint="eastAsia" w:ascii="华文仿宋" w:hAnsi="华文仿宋" w:eastAsia="华文仿宋" w:cs="华文仿宋"/>
          <w:color w:val="000000" w:themeColor="text1"/>
          <w:sz w:val="28"/>
          <w:szCs w:val="28"/>
          <w14:textFill>
            <w14:solidFill>
              <w14:schemeClr w14:val="tx1"/>
            </w14:solidFill>
          </w14:textFill>
        </w:rPr>
        <w:t>元；奖金：</w:t>
      </w:r>
      <w:r>
        <w:rPr>
          <w:rFonts w:hint="eastAsia" w:ascii="华文仿宋" w:hAnsi="华文仿宋" w:eastAsia="华文仿宋" w:cs="华文仿宋"/>
          <w:color w:val="000000" w:themeColor="text1"/>
          <w:sz w:val="28"/>
          <w:szCs w:val="28"/>
          <w:lang w:eastAsia="zh-CN"/>
          <w14:textFill>
            <w14:solidFill>
              <w14:schemeClr w14:val="tx1"/>
            </w14:solidFill>
          </w14:textFill>
        </w:rPr>
        <w:t>825852</w:t>
      </w:r>
      <w:r>
        <w:rPr>
          <w:rFonts w:hint="eastAsia" w:ascii="华文仿宋" w:hAnsi="华文仿宋" w:eastAsia="华文仿宋" w:cs="华文仿宋"/>
          <w:color w:val="000000" w:themeColor="text1"/>
          <w:sz w:val="28"/>
          <w:szCs w:val="28"/>
          <w14:textFill>
            <w14:solidFill>
              <w14:schemeClr w14:val="tx1"/>
            </w14:solidFill>
          </w14:textFill>
        </w:rPr>
        <w:t>元</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公用经费用途主要包括</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办公费、印刷费、咨询费、手续费</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劳务费</w:t>
      </w:r>
      <w:r>
        <w:rPr>
          <w:rFonts w:hint="eastAsia" w:ascii="华文仿宋" w:hAnsi="华文仿宋" w:eastAsia="华文仿宋" w:cs="华文仿宋"/>
          <w:color w:val="000000" w:themeColor="text1"/>
          <w:sz w:val="28"/>
          <w:szCs w:val="28"/>
          <w14:textFill>
            <w14:solidFill>
              <w14:schemeClr w14:val="tx1"/>
            </w14:solidFill>
          </w14:textFill>
        </w:rPr>
        <w:t>等。</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四、“三公”经费情况说明</w:t>
      </w:r>
    </w:p>
    <w:p>
      <w:pPr>
        <w:ind w:firstLine="562"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（一）“三公”经费支出总额情况。</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14:textFill>
            <w14:solidFill>
              <w14:schemeClr w14:val="tx1"/>
            </w14:solidFill>
          </w14:textFill>
        </w:rPr>
        <w:t>年度本部门“三公”经费支出共计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 （由部门根据实际情况补充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2"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（二）“三公”经费分项支出情况。</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度本部门因公出国（境）费用</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，主要是用于...... （部门根据实际情况补充因公出国境事由。如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主要用于与世界银行等国际组织开展项目磋商谈判，到英国学习财政管理先进经验等），费用支出较年初预算数增加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公务车购置费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，主要用于...... （部门根据实际情况补充车辆用途，如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主要用于购买执法检查用车、监测车等），费用支出较年初预算数增加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公务车运行维护费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，主要用于...... （部门根据实际情况补充，如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主要用于机要文件交换、市内因公出行、财政业务检查等工作所需车辆的燃料费、维修费、过桥过路费、保险费等</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），费用支出较年初预算数增加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公务接待费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，主要用于接待......（部门根据实际情况补充接待事项，如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主要用于接待国内其他省市财政厅到我单位学习调研政府财务报告编制工作，接受相关部门检查指导工作发生的接待支出等</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），费用支出较年初预算数增加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（三）“三公”经费实物量情况。</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14:textFill>
            <w14:solidFill>
              <w14:schemeClr w14:val="tx1"/>
            </w14:solidFill>
          </w14:textFill>
        </w:rPr>
        <w:t xml:space="preserve"> 年度本部门因公出国（境）共计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个团组，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人；公务用车购置</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辆，公务车保有量为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辆；国内公务接待</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批次，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人，其中：国内外事接待</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批次，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人；国（境）外公务接待</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批次，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人。</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度本部门人均接待费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元，车均购置费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，车均维护费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 五、其他需要说明的事项</w:t>
      </w:r>
    </w:p>
    <w:p>
      <w:pPr>
        <w:ind w:firstLine="562"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（一） 机关运行经费情况说明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本部门机关运行经费支出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，机关运行经费主要用于开支......（具体开支情况由部门根据实际情况填列，可对支出金额较大的经济科目进行说明。如主要用于办公费、公务车运行维护费、信息网络购置更新费等，也可具体说明支出事由）。</w:t>
      </w:r>
    </w:p>
    <w:p>
      <w:pPr>
        <w:ind w:firstLine="560" w:firstLine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注：本部分至少应包含以上信息，如有其他需要说明的情况，应单独在此进行补充说明。</w:t>
      </w:r>
      <w:r>
        <w:rPr>
          <w:rFonts w:hint="eastAsia" w:ascii="华文仿宋" w:hAnsi="华文仿宋" w:eastAsia="华文仿宋" w:cs="华文仿宋"/>
          <w:color w:val="000000" w:themeColor="text1"/>
          <w:sz w:val="28"/>
          <w:szCs w:val="28"/>
          <w:lang w:eastAsia="zh-CN"/>
          <w14:textFill>
            <w14:solidFill>
              <w14:schemeClr w14:val="tx1"/>
            </w14:solidFill>
          </w14:textFill>
        </w:rPr>
        <w:t>）</w:t>
      </w:r>
    </w:p>
    <w:p>
      <w:pPr>
        <w:ind w:firstLine="562"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（二） 国有资产占用情况说明。</w:t>
      </w:r>
      <w:r>
        <w:rPr>
          <w:rFonts w:hint="eastAsia" w:ascii="华文仿宋" w:hAnsi="华文仿宋" w:eastAsia="华文仿宋" w:cs="华文仿宋"/>
          <w:color w:val="000000" w:themeColor="text1"/>
          <w:sz w:val="28"/>
          <w:szCs w:val="28"/>
          <w14:textFill>
            <w14:solidFill>
              <w14:schemeClr w14:val="tx1"/>
            </w14:solidFill>
          </w14:textFill>
        </w:rPr>
        <w:t>截至</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12月31日，本部门共有车辆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辆，其中：主要领导干部用车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辆、机要通信用车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辆、应急保障用车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辆、执法执勤用车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     特种专业技术用车其</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辆、离退休干部用车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其</w:t>
      </w:r>
      <w:r>
        <w:rPr>
          <w:rFonts w:hint="eastAsia" w:ascii="华文仿宋" w:hAnsi="华文仿宋" w:eastAsia="华文仿宋" w:cs="华文仿宋"/>
          <w:color w:val="000000" w:themeColor="text1"/>
          <w:sz w:val="28"/>
          <w:szCs w:val="28"/>
          <w14:textFill>
            <w14:solidFill>
              <w14:schemeClr w14:val="tx1"/>
            </w14:solidFill>
          </w14:textFill>
        </w:rPr>
        <w:t>他用车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辆，其他用车主要是......（其他用车根据汽车用途情况进行说明）。 单价50</w:t>
      </w:r>
      <w:r>
        <w:rPr>
          <w:rFonts w:hint="eastAsia" w:ascii="华文仿宋" w:hAnsi="华文仿宋" w:eastAsia="华文仿宋" w:cs="华文仿宋"/>
          <w:color w:val="000000" w:themeColor="text1"/>
          <w:sz w:val="28"/>
          <w:szCs w:val="28"/>
          <w:lang w:eastAsia="zh-CN"/>
          <w14:textFill>
            <w14:solidFill>
              <w14:schemeClr w14:val="tx1"/>
            </w14:solidFill>
          </w14:textFill>
        </w:rPr>
        <w:t>万元</w:t>
      </w:r>
      <w:r>
        <w:rPr>
          <w:rFonts w:hint="eastAsia" w:ascii="华文仿宋" w:hAnsi="华文仿宋" w:eastAsia="华文仿宋" w:cs="华文仿宋"/>
          <w:color w:val="000000" w:themeColor="text1"/>
          <w:sz w:val="28"/>
          <w:szCs w:val="28"/>
          <w14:textFill>
            <w14:solidFill>
              <w14:schemeClr w14:val="tx1"/>
            </w14:solidFill>
          </w14:textFill>
        </w:rPr>
        <w:t>以上通用设备</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台（套），单价100</w:t>
      </w:r>
      <w:r>
        <w:rPr>
          <w:rFonts w:hint="eastAsia" w:ascii="华文仿宋" w:hAnsi="华文仿宋" w:eastAsia="华文仿宋" w:cs="华文仿宋"/>
          <w:color w:val="000000" w:themeColor="text1"/>
          <w:sz w:val="28"/>
          <w:szCs w:val="28"/>
          <w:lang w:eastAsia="zh-CN"/>
          <w14:textFill>
            <w14:solidFill>
              <w14:schemeClr w14:val="tx1"/>
            </w14:solidFill>
          </w14:textFill>
        </w:rPr>
        <w:t>万元</w:t>
      </w:r>
      <w:r>
        <w:rPr>
          <w:rFonts w:hint="eastAsia" w:ascii="华文仿宋" w:hAnsi="华文仿宋" w:eastAsia="华文仿宋" w:cs="华文仿宋"/>
          <w:color w:val="000000" w:themeColor="text1"/>
          <w:sz w:val="28"/>
          <w:szCs w:val="28"/>
          <w14:textFill>
            <w14:solidFill>
              <w14:schemeClr w14:val="tx1"/>
            </w14:solidFill>
          </w14:textFill>
        </w:rPr>
        <w:t>以上专用设备</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台（套）。</w:t>
      </w:r>
    </w:p>
    <w:p>
      <w:pPr>
        <w:ind w:firstLine="560" w:firstLine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注：本部分至少应包含以上信息，如有其他需要说明的情况，应单独在此进行补充说明。</w:t>
      </w:r>
      <w:r>
        <w:rPr>
          <w:rFonts w:hint="eastAsia" w:ascii="华文仿宋" w:hAnsi="华文仿宋" w:eastAsia="华文仿宋" w:cs="华文仿宋"/>
          <w:color w:val="000000" w:themeColor="text1"/>
          <w:sz w:val="28"/>
          <w:szCs w:val="28"/>
          <w:lang w:eastAsia="zh-CN"/>
          <w14:textFill>
            <w14:solidFill>
              <w14:schemeClr w14:val="tx1"/>
            </w14:solidFill>
          </w14:textFill>
        </w:rPr>
        <w:t>）</w:t>
      </w:r>
    </w:p>
    <w:p>
      <w:pPr>
        <w:ind w:firstLine="562"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（三） 政府采购支出情况说明。</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本部门政府采购支出总额</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，其中：政府采购货物支出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、政府采购工程支出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、政府采购服务支出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。主要用于采购...... （由部门根据实际采购情况补充说明）。</w:t>
      </w:r>
    </w:p>
    <w:p>
      <w:pPr>
        <w:ind w:firstLine="560" w:firstLine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注：本部分至少应包含以上信息，如有其他需要说明的情况，应单独在此进行补充说明</w:t>
      </w:r>
      <w:r>
        <w:rPr>
          <w:rFonts w:hint="eastAsia" w:ascii="华文仿宋" w:hAnsi="华文仿宋" w:eastAsia="华文仿宋" w:cs="华文仿宋"/>
          <w:color w:val="000000" w:themeColor="text1"/>
          <w:sz w:val="28"/>
          <w:szCs w:val="28"/>
          <w:lang w:eastAsia="zh-CN"/>
          <w14:textFill>
            <w14:solidFill>
              <w14:schemeClr w14:val="tx1"/>
            </w14:solidFill>
          </w14:textFill>
        </w:rPr>
        <w:t>。）</w:t>
      </w:r>
    </w:p>
    <w:p>
      <w:pPr>
        <w:ind w:firstLine="562"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（四）预算绩效管理情况说明</w:t>
      </w:r>
      <w:r>
        <w:rPr>
          <w:rFonts w:hint="eastAsia" w:ascii="华文仿宋" w:hAnsi="华文仿宋" w:eastAsia="华文仿宋" w:cs="华文仿宋"/>
          <w:color w:val="000000" w:themeColor="text1"/>
          <w:sz w:val="28"/>
          <w:szCs w:val="28"/>
          <w14:textFill>
            <w14:solidFill>
              <w14:schemeClr w14:val="tx1"/>
            </w14:solidFill>
          </w14:textFill>
        </w:rPr>
        <w:t>（如有，需另附绩效评价报告）。</w:t>
      </w:r>
    </w:p>
    <w:p>
      <w:pPr>
        <w:spacing w:line="62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根据财政预算绩效管理要求，我部门组织对</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度一般公共预算项目支出开展绩效评价。共涉及资金</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，占一般公共预算项目支出总额的</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%。共组织对</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个项目开展了重点绩效评价，涉及一般公共预算支出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。其中，对</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项目分别委托</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等第三方机构开展绩效评价。共组织对</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个下属部门开展整体支出绩效评价试点，涉及一般公共预算支出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。其中，对</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等部门整体支出分别委托</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等第三方机构开展绩效评价。</w:t>
      </w:r>
    </w:p>
    <w:p>
      <w:pPr>
        <w:spacing w:line="62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项目绩效评价结果（如有），应当按照如下格式说明：根据年初设定的绩效目标，</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项目自评得分为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分（或优、良、中、差）。项目全年预算数为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，执行数为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，完成预算的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%。主要产出和效果：一是......；二是......。发现的主要问题及原因：一是......；二是......。下一步改进措施：一是......；二是......。</w:t>
      </w:r>
    </w:p>
    <w:p>
      <w:pPr>
        <w:spacing w:line="62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项目绩效自评综述：......。</w:t>
      </w:r>
    </w:p>
    <w:p>
      <w:pPr>
        <w:spacing w:line="620" w:lineRule="exact"/>
        <w:ind w:firstLine="560" w:firstLineChars="200"/>
        <w:rPr>
          <w:rFonts w:hint="eastAsia" w:ascii="华文仿宋" w:hAnsi="华文仿宋" w:eastAsia="华文仿宋" w:cs="华文仿宋"/>
          <w:color w:val="000000" w:themeColor="text1"/>
          <w:sz w:val="28"/>
          <w:szCs w:val="28"/>
          <w:lang w:val="en-US" w:eastAsia="zh-CN"/>
          <w14:textFill>
            <w14:solidFill>
              <w14:schemeClr w14:val="tx1"/>
            </w14:solidFill>
          </w14:textFill>
        </w:rPr>
      </w:pPr>
      <w:r>
        <w:rPr>
          <w:rFonts w:hint="eastAsia" w:ascii="华文仿宋" w:hAnsi="华文仿宋" w:eastAsia="华文仿宋" w:cs="华文仿宋"/>
          <w:color w:val="000000" w:themeColor="text1"/>
          <w:sz w:val="28"/>
          <w:szCs w:val="28"/>
          <w:lang w:val="en-US" w:eastAsia="zh-CN"/>
          <w14:textFill>
            <w14:solidFill>
              <w14:schemeClr w14:val="tx1"/>
            </w14:solidFill>
          </w14:textFill>
        </w:rPr>
        <w:t>另：</w:t>
      </w:r>
      <w:r>
        <w:rPr>
          <w:rFonts w:hint="eastAsia" w:ascii="华文仿宋" w:hAnsi="华文仿宋" w:eastAsia="华文仿宋" w:cs="华文仿宋"/>
          <w:color w:val="000000" w:themeColor="text1"/>
          <w:sz w:val="28"/>
          <w:szCs w:val="28"/>
          <w14:textFill>
            <w14:solidFill>
              <w14:schemeClr w14:val="tx1"/>
            </w14:solidFill>
          </w14:textFill>
        </w:rPr>
        <w:t>附绩效评价报告</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可参照《附件3部门项目绩效评价结果公开参考模板》</w:t>
      </w:r>
    </w:p>
    <w:p>
      <w:pPr>
        <w:ind w:firstLine="560" w:firstLine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六、专业名词解释。</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（一）财政拨款收入：指本年度从本级财政部门取得的财政拨款，包括一般公共预算财政拨款和政府性基金预算财政拨款。</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（二）事业收入：指事业单位开展专业业务活动及其辅助活动取得的收入；事业单位收到的财政专户实际核拨的教育收费等资金在此反映。</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（三）经营收入：指事业单位在专业业务活动及其辅助活动之外开展非独立核算经营活动取得的收入。</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（六）年初结转和结余：指单位上年结转本年使用的基本支出结转、项目支出结转和结余、经营结余。不包括事业单位净资产项下的事业基金和专用基金。</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（八）年末结转和结余：指单位结转下年的基本支出结转、项目支出结转和结余、经营结余。不包括事业单位净资产项下的事业基金和专用基金。</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（十）项目支出：指在基本支出之外为完成特定行政任务和事业发展目标所发生的支出。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（十一）经营支出：指事业单位在专业业务活动及其辅助活动之外开展非独立核算经营活动发生的支出。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（十四）工资福利支出（支出经济分类科目类级）：反映单位开支的在职职工和编制外长期聘用人员的各类劳动报酬，以及为上述人员缴纳的各项社会保险费等。</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（十五）商品和服务支出（支出经济分类科目类级）：反映单位购买商品和服务的支出（不包括用于购置固定资产的支出、战略性和应急储备支出）。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（十六）对个人和家庭的补助（支出经济分类科目类级）：反映用于对个人和家庭的补助支出。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rPr>
          <w:rFonts w:hint="eastAsia" w:ascii="华文仿宋" w:hAnsi="华文仿宋" w:eastAsia="华文仿宋" w:cs="华文仿宋"/>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MjUxMGQxY2NkYjBjM2FhMWQzNzJiOGRmOTY3OTIifQ=="/>
  </w:docVars>
  <w:rsids>
    <w:rsidRoot w:val="00F03FAA"/>
    <w:rsid w:val="000159DE"/>
    <w:rsid w:val="00016568"/>
    <w:rsid w:val="000E7A56"/>
    <w:rsid w:val="000F5CF8"/>
    <w:rsid w:val="0019485D"/>
    <w:rsid w:val="002B7E30"/>
    <w:rsid w:val="002C0CA4"/>
    <w:rsid w:val="003D17C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EE30B5"/>
    <w:rsid w:val="01F14BB8"/>
    <w:rsid w:val="09E3592B"/>
    <w:rsid w:val="0A1A3A74"/>
    <w:rsid w:val="0BDC5F26"/>
    <w:rsid w:val="0CDF3928"/>
    <w:rsid w:val="0D7272D0"/>
    <w:rsid w:val="170363D4"/>
    <w:rsid w:val="17542C27"/>
    <w:rsid w:val="18F1352C"/>
    <w:rsid w:val="19643582"/>
    <w:rsid w:val="1B943FD8"/>
    <w:rsid w:val="1D3046E6"/>
    <w:rsid w:val="1DD64839"/>
    <w:rsid w:val="211A750E"/>
    <w:rsid w:val="21973D6A"/>
    <w:rsid w:val="22552B9B"/>
    <w:rsid w:val="2AC80393"/>
    <w:rsid w:val="2D6C2C08"/>
    <w:rsid w:val="2EE67926"/>
    <w:rsid w:val="2F264587"/>
    <w:rsid w:val="34DD5F00"/>
    <w:rsid w:val="35130FCB"/>
    <w:rsid w:val="36DE5132"/>
    <w:rsid w:val="38323784"/>
    <w:rsid w:val="39D0350C"/>
    <w:rsid w:val="3A213F71"/>
    <w:rsid w:val="3A3C4280"/>
    <w:rsid w:val="3B282822"/>
    <w:rsid w:val="3EDE7988"/>
    <w:rsid w:val="40204DC6"/>
    <w:rsid w:val="4575145F"/>
    <w:rsid w:val="53643563"/>
    <w:rsid w:val="580D7EC0"/>
    <w:rsid w:val="5A325A5F"/>
    <w:rsid w:val="5BF36344"/>
    <w:rsid w:val="5F2727A8"/>
    <w:rsid w:val="5FCB30CD"/>
    <w:rsid w:val="620657B0"/>
    <w:rsid w:val="62960785"/>
    <w:rsid w:val="67961468"/>
    <w:rsid w:val="69D20292"/>
    <w:rsid w:val="6CD76AD7"/>
    <w:rsid w:val="6D75333B"/>
    <w:rsid w:val="763F0CE1"/>
    <w:rsid w:val="7A0344C4"/>
    <w:rsid w:val="7CDD3E62"/>
    <w:rsid w:val="7D43087F"/>
    <w:rsid w:val="7E1859D6"/>
    <w:rsid w:val="7FBA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13">
    <w:name w:val="Header or footer|1"/>
    <w:basedOn w:val="1"/>
    <w:qFormat/>
    <w:uiPriority w:val="0"/>
    <w:pPr>
      <w:widowControl w:val="0"/>
      <w:shd w:val="clear" w:color="auto" w:fill="auto"/>
    </w:pPr>
    <w:rPr>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5358</Words>
  <Characters>5805</Characters>
  <Lines>44</Lines>
  <Paragraphs>12</Paragraphs>
  <TotalTime>0</TotalTime>
  <ScaleCrop>false</ScaleCrop>
  <LinksUpToDate>false</LinksUpToDate>
  <CharactersWithSpaces>5845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2023-06-08T02:20:32Z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92B76ECF10184723B4F0449D6CBDE603</vt:lpwstr>
  </property>
</Properties>
</file>