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sz w:val="52"/>
          <w:szCs w:val="52"/>
        </w:rPr>
      </w:pPr>
    </w:p>
    <w:p>
      <w:pPr>
        <w:jc w:val="center"/>
        <w:rPr>
          <w:rFonts w:ascii="方正小标宋简体" w:eastAsia="方正小标宋简体"/>
          <w:sz w:val="52"/>
          <w:szCs w:val="52"/>
        </w:rPr>
      </w:pPr>
    </w:p>
    <w:p>
      <w:pPr>
        <w:jc w:val="center"/>
        <w:rPr>
          <w:rFonts w:ascii="楷体" w:hAnsi="楷体" w:eastAsia="楷体"/>
          <w:sz w:val="30"/>
          <w:szCs w:val="30"/>
        </w:rPr>
      </w:pPr>
      <w:r>
        <w:rPr>
          <w:rFonts w:hint="eastAsia" w:ascii="方正小标宋简体" w:eastAsia="方正小标宋简体"/>
          <w:sz w:val="72"/>
          <w:szCs w:val="72"/>
          <w:lang w:val="en-US" w:eastAsia="zh-CN"/>
        </w:rPr>
        <w:t>布塄沟村史馆</w:t>
      </w:r>
      <w:r>
        <w:rPr>
          <w:rFonts w:hint="eastAsia" w:ascii="方正小标宋简体" w:eastAsia="方正小标宋简体"/>
          <w:sz w:val="72"/>
          <w:szCs w:val="72"/>
        </w:rPr>
        <w:t>部门预算</w:t>
      </w:r>
    </w:p>
    <w:p>
      <w:pPr>
        <w:jc w:val="center"/>
        <w:rPr>
          <w:rFonts w:ascii="方正小标宋简体" w:eastAsia="方正小标宋简体"/>
          <w:sz w:val="48"/>
          <w:szCs w:val="48"/>
        </w:rPr>
      </w:pPr>
      <w:r>
        <w:rPr>
          <w:rFonts w:hint="eastAsia" w:ascii="方正小标宋简体" w:eastAsia="方正小标宋简体"/>
          <w:sz w:val="48"/>
          <w:szCs w:val="48"/>
        </w:rPr>
        <w:t>（2022年度）</w:t>
      </w:r>
    </w:p>
    <w:p>
      <w:pPr>
        <w:tabs>
          <w:tab w:val="left" w:pos="12150"/>
        </w:tabs>
        <w:jc w:val="left"/>
        <w:rPr>
          <w:rFonts w:ascii="方正小标宋简体" w:eastAsia="方正小标宋简体"/>
          <w:sz w:val="48"/>
          <w:szCs w:val="48"/>
        </w:rPr>
      </w:pPr>
      <w:r>
        <w:rPr>
          <w:rFonts w:ascii="方正小标宋简体" w:eastAsia="方正小标宋简体"/>
          <w:sz w:val="48"/>
          <w:szCs w:val="48"/>
        </w:rPr>
        <w:tab/>
      </w:r>
    </w:p>
    <w:p>
      <w:pPr>
        <w:jc w:val="center"/>
        <w:rPr>
          <w:rFonts w:ascii="方正小标宋简体" w:eastAsia="方正小标宋简体"/>
          <w:sz w:val="48"/>
          <w:szCs w:val="48"/>
        </w:rPr>
      </w:pPr>
    </w:p>
    <w:p>
      <w:pPr>
        <w:jc w:val="center"/>
        <w:rPr>
          <w:rFonts w:ascii="方正小标宋简体" w:eastAsia="方正小标宋简体"/>
          <w:sz w:val="48"/>
          <w:szCs w:val="48"/>
        </w:rPr>
      </w:pPr>
    </w:p>
    <w:p>
      <w:pPr>
        <w:jc w:val="center"/>
        <w:rPr>
          <w:rFonts w:ascii="方正小标宋简体" w:eastAsia="方正小标宋简体"/>
          <w:sz w:val="48"/>
          <w:szCs w:val="48"/>
        </w:rPr>
      </w:pPr>
    </w:p>
    <w:p>
      <w:pPr>
        <w:jc w:val="center"/>
        <w:rPr>
          <w:rFonts w:ascii="方正小标宋简体" w:eastAsia="方正小标宋简体"/>
          <w:sz w:val="48"/>
          <w:szCs w:val="48"/>
        </w:rPr>
      </w:pPr>
      <w:r>
        <w:rPr>
          <w:rFonts w:hint="eastAsia" w:ascii="方正小标宋简体" w:eastAsia="方正小标宋简体"/>
          <w:sz w:val="48"/>
          <w:szCs w:val="48"/>
        </w:rPr>
        <w:t>2022年5月</w:t>
      </w:r>
    </w:p>
    <w:p>
      <w:pPr>
        <w:jc w:val="center"/>
        <w:rPr>
          <w:rFonts w:hint="eastAsia" w:ascii="黑体" w:hAnsi="黑体" w:eastAsia="黑体"/>
          <w:sz w:val="48"/>
          <w:szCs w:val="48"/>
        </w:rPr>
      </w:pPr>
    </w:p>
    <w:p>
      <w:pPr>
        <w:jc w:val="center"/>
        <w:rPr>
          <w:rFonts w:hint="eastAsia" w:ascii="黑体" w:hAnsi="黑体" w:eastAsia="黑体"/>
          <w:sz w:val="48"/>
          <w:szCs w:val="48"/>
        </w:rPr>
      </w:pPr>
    </w:p>
    <w:p>
      <w:pPr>
        <w:jc w:val="center"/>
        <w:rPr>
          <w:rFonts w:ascii="黑体" w:hAnsi="黑体" w:eastAsia="黑体"/>
          <w:sz w:val="48"/>
          <w:szCs w:val="48"/>
        </w:rPr>
      </w:pPr>
      <w:r>
        <w:rPr>
          <w:rFonts w:hint="eastAsia" w:ascii="黑体" w:hAnsi="黑体" w:eastAsia="黑体"/>
          <w:sz w:val="48"/>
          <w:szCs w:val="48"/>
        </w:rPr>
        <w:t>目    录</w:t>
      </w:r>
    </w:p>
    <w:p>
      <w:pPr>
        <w:rPr>
          <w:rFonts w:ascii="仿宋_GB2312" w:hAnsi="黑体" w:eastAsia="仿宋_GB2312"/>
          <w:sz w:val="32"/>
          <w:szCs w:val="32"/>
        </w:rPr>
      </w:pP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第一部分  部门概况</w:t>
      </w:r>
    </w:p>
    <w:p>
      <w:pPr>
        <w:spacing w:line="640" w:lineRule="exact"/>
        <w:ind w:firstLine="1564" w:firstLineChars="489"/>
        <w:rPr>
          <w:rFonts w:ascii="仿宋_GB2312" w:hAnsi="黑体" w:eastAsia="仿宋_GB2312"/>
          <w:sz w:val="32"/>
          <w:szCs w:val="32"/>
        </w:rPr>
      </w:pPr>
      <w:r>
        <w:rPr>
          <w:rFonts w:hint="eastAsia" w:ascii="仿宋_GB2312" w:hAnsi="黑体" w:eastAsia="仿宋_GB2312"/>
          <w:sz w:val="32"/>
          <w:szCs w:val="32"/>
        </w:rPr>
        <w:t>一、部门职责</w:t>
      </w:r>
    </w:p>
    <w:p>
      <w:pPr>
        <w:spacing w:line="640" w:lineRule="exact"/>
        <w:ind w:firstLine="1590" w:firstLineChars="497"/>
        <w:rPr>
          <w:rFonts w:ascii="仿宋_GB2312" w:hAnsi="黑体" w:eastAsia="仿宋_GB2312"/>
          <w:sz w:val="32"/>
          <w:szCs w:val="32"/>
        </w:rPr>
      </w:pPr>
      <w:r>
        <w:rPr>
          <w:rFonts w:hint="eastAsia" w:ascii="仿宋_GB2312" w:hAnsi="黑体" w:eastAsia="仿宋_GB2312"/>
          <w:sz w:val="32"/>
          <w:szCs w:val="32"/>
        </w:rPr>
        <w:t>二、机构设置</w:t>
      </w: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第二部分  2022年部门预算表格</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一、2022年部门收支总表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二、2022年部门收入总表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三、2022年部门支出总表</w:t>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四、2022年部门财政拨款收支总表</w:t>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五、2022年部门一般公共预算支出表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六、2022年部门政府性基金预算支出表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七、2022年部门预算经济分类和对应的政府预算经济分类基本支出预算明细表</w:t>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八、2022年部门预算经济分类和对应的政府预算经济分类项目支出预算明细表</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九、2022年部门政府采购预算表</w:t>
      </w:r>
      <w:r>
        <w:rPr>
          <w:rFonts w:hint="eastAsia" w:ascii="仿宋_GB2312" w:hAnsi="黑体" w:eastAsia="仿宋_GB2312"/>
          <w:sz w:val="32"/>
          <w:szCs w:val="32"/>
        </w:rPr>
        <w:tab/>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十、2022年部门“三公”经费预算财政拨款情况表</w:t>
      </w:r>
      <w:r>
        <w:rPr>
          <w:rFonts w:hint="eastAsia" w:ascii="仿宋_GB2312" w:hAnsi="黑体" w:eastAsia="仿宋_GB2312"/>
          <w:sz w:val="32"/>
          <w:szCs w:val="32"/>
        </w:rPr>
        <w:tab/>
      </w: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第三部分  部门预算情况说明</w:t>
      </w:r>
    </w:p>
    <w:p>
      <w:pPr>
        <w:spacing w:line="640" w:lineRule="exact"/>
        <w:ind w:firstLine="1285" w:firstLineChars="400"/>
        <w:rPr>
          <w:rFonts w:ascii="仿宋_GB2312" w:hAnsi="黑体" w:eastAsia="仿宋_GB2312"/>
          <w:sz w:val="32"/>
          <w:szCs w:val="32"/>
        </w:rPr>
      </w:pPr>
      <w:r>
        <w:rPr>
          <w:rFonts w:hint="eastAsia" w:ascii="仿宋_GB2312" w:hAnsi="黑体" w:eastAsia="仿宋_GB2312"/>
          <w:b/>
          <w:sz w:val="32"/>
          <w:szCs w:val="32"/>
        </w:rPr>
        <w:t xml:space="preserve">  </w:t>
      </w:r>
      <w:r>
        <w:rPr>
          <w:rFonts w:hint="eastAsia" w:ascii="仿宋_GB2312" w:hAnsi="黑体" w:eastAsia="仿宋_GB2312"/>
          <w:sz w:val="32"/>
          <w:szCs w:val="32"/>
        </w:rPr>
        <w:t>一、部门预算总体说明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二、部门一般公共预算支出情况说明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三、部门一般公共预算基本支出情况说明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四、部门“三公”经费情况说明</w:t>
      </w:r>
    </w:p>
    <w:p>
      <w:pPr>
        <w:spacing w:line="640" w:lineRule="exact"/>
        <w:ind w:firstLine="1600" w:firstLineChars="500"/>
        <w:rPr>
          <w:rFonts w:ascii="仿宋_GB2312" w:hAnsi="黑体" w:eastAsia="仿宋_GB2312"/>
          <w:sz w:val="32"/>
          <w:szCs w:val="32"/>
        </w:rPr>
      </w:pPr>
      <w:r>
        <w:rPr>
          <w:rFonts w:hint="eastAsia" w:ascii="仿宋_GB2312" w:hAnsi="黑体" w:eastAsia="仿宋_GB2312"/>
          <w:sz w:val="32"/>
          <w:szCs w:val="32"/>
        </w:rPr>
        <w:t>五、部门机关运行经费及政府采购预算情况说明</w:t>
      </w:r>
    </w:p>
    <w:p>
      <w:pPr>
        <w:spacing w:line="640" w:lineRule="exact"/>
        <w:ind w:firstLine="1285" w:firstLineChars="400"/>
        <w:rPr>
          <w:rFonts w:ascii="仿宋_GB2312" w:hAnsi="黑体" w:eastAsia="仿宋_GB2312"/>
          <w:b/>
          <w:sz w:val="32"/>
          <w:szCs w:val="32"/>
        </w:rPr>
      </w:pPr>
      <w:r>
        <w:rPr>
          <w:rFonts w:hint="eastAsia" w:ascii="仿宋_GB2312" w:hAnsi="黑体" w:eastAsia="仿宋_GB2312"/>
          <w:b/>
          <w:sz w:val="32"/>
          <w:szCs w:val="32"/>
        </w:rPr>
        <w:t>第四部分  名词解释</w:t>
      </w: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52"/>
          <w:szCs w:val="52"/>
        </w:rPr>
      </w:pPr>
      <w:r>
        <w:rPr>
          <w:rFonts w:hint="eastAsia" w:ascii="仿宋_GB2312" w:hAnsi="黑体" w:eastAsia="仿宋_GB2312"/>
          <w:b/>
          <w:sz w:val="52"/>
          <w:szCs w:val="52"/>
        </w:rPr>
        <w:t>第一部分  部门概况</w:t>
      </w:r>
    </w:p>
    <w:p>
      <w:pPr>
        <w:spacing w:line="640" w:lineRule="exact"/>
        <w:rPr>
          <w:rFonts w:ascii="黑体" w:hAnsi="黑体" w:eastAsia="黑体"/>
          <w:sz w:val="32"/>
          <w:szCs w:val="32"/>
        </w:rPr>
      </w:pPr>
      <w:r>
        <w:rPr>
          <w:rFonts w:hint="eastAsia" w:ascii="仿宋_GB2312" w:hAnsi="黑体" w:eastAsia="仿宋_GB2312"/>
          <w:sz w:val="32"/>
          <w:szCs w:val="32"/>
        </w:rPr>
        <w:t xml:space="preserve">  </w:t>
      </w:r>
    </w:p>
    <w:p>
      <w:pPr>
        <w:numPr>
          <w:ilvl w:val="0"/>
          <w:numId w:val="1"/>
        </w:numPr>
        <w:spacing w:line="640" w:lineRule="exact"/>
        <w:rPr>
          <w:rFonts w:ascii="黑体" w:hAnsi="黑体" w:eastAsia="黑体"/>
          <w:sz w:val="32"/>
          <w:szCs w:val="32"/>
        </w:rPr>
      </w:pPr>
      <w:r>
        <w:rPr>
          <w:rFonts w:hint="eastAsia" w:ascii="黑体" w:hAnsi="黑体" w:eastAsia="黑体"/>
          <w:sz w:val="32"/>
          <w:szCs w:val="32"/>
        </w:rPr>
        <w:t>部门职责</w:t>
      </w:r>
    </w:p>
    <w:p>
      <w:pPr>
        <w:keepNext w:val="0"/>
        <w:keepLines w:val="0"/>
        <w:widowControl/>
        <w:suppressLineNumbers w:val="0"/>
        <w:ind w:firstLine="680" w:firstLineChars="200"/>
        <w:jc w:val="left"/>
      </w:pPr>
      <w:r>
        <w:rPr>
          <w:rFonts w:ascii="仿宋" w:hAnsi="仿宋" w:eastAsia="仿宋" w:cs="仿宋"/>
          <w:color w:val="000000"/>
          <w:kern w:val="0"/>
          <w:sz w:val="34"/>
          <w:szCs w:val="34"/>
          <w:lang w:val="en-US" w:eastAsia="zh-CN" w:bidi="ar"/>
        </w:rPr>
        <w:t xml:space="preserve">以图文并茂、景物结合的形式重现习近平总书记视察东乡县布楞沟村时的情景，集中展现 </w:t>
      </w:r>
    </w:p>
    <w:p>
      <w:pPr>
        <w:keepNext w:val="0"/>
        <w:keepLines w:val="0"/>
        <w:widowControl/>
        <w:suppressLineNumbers w:val="0"/>
        <w:jc w:val="left"/>
      </w:pPr>
      <w:r>
        <w:rPr>
          <w:rFonts w:hint="eastAsia" w:ascii="仿宋" w:hAnsi="仿宋" w:eastAsia="仿宋" w:cs="仿宋"/>
          <w:color w:val="000000"/>
          <w:kern w:val="0"/>
          <w:sz w:val="34"/>
          <w:szCs w:val="34"/>
          <w:lang w:val="en-US" w:eastAsia="zh-CN" w:bidi="ar"/>
        </w:rPr>
        <w:t xml:space="preserve">党和国家对东乡县各民族群众的亲切关怀，讲述乡村历史、见证时代变迁，反应布楞沟基础设 </w:t>
      </w:r>
    </w:p>
    <w:p>
      <w:pPr>
        <w:keepNext w:val="0"/>
        <w:keepLines w:val="0"/>
        <w:widowControl/>
        <w:suppressLineNumbers w:val="0"/>
        <w:jc w:val="left"/>
      </w:pPr>
      <w:r>
        <w:rPr>
          <w:rFonts w:hint="eastAsia" w:ascii="仿宋" w:hAnsi="仿宋" w:eastAsia="仿宋" w:cs="仿宋"/>
          <w:color w:val="000000"/>
          <w:kern w:val="0"/>
          <w:sz w:val="34"/>
          <w:szCs w:val="34"/>
          <w:lang w:val="en-US" w:eastAsia="zh-CN" w:bidi="ar"/>
        </w:rPr>
        <w:t xml:space="preserve">施、富民产业、公共服务设施等方面和群众精神面貌发生的深刻变化，展现东乡儿女“爱党、 </w:t>
      </w:r>
    </w:p>
    <w:p>
      <w:pPr>
        <w:keepNext w:val="0"/>
        <w:keepLines w:val="0"/>
        <w:widowControl/>
        <w:suppressLineNumbers w:val="0"/>
        <w:jc w:val="left"/>
      </w:pPr>
      <w:r>
        <w:rPr>
          <w:rFonts w:hint="eastAsia" w:ascii="仿宋" w:hAnsi="仿宋" w:eastAsia="仿宋" w:cs="仿宋"/>
          <w:color w:val="000000"/>
          <w:kern w:val="0"/>
          <w:sz w:val="34"/>
          <w:szCs w:val="34"/>
          <w:lang w:val="en-US" w:eastAsia="zh-CN" w:bidi="ar"/>
        </w:rPr>
        <w:t xml:space="preserve">爱国”，“感恩、奋进”的精神风貌和特有的东乡民俗文化，作为广大干部群众学习实践习近 </w:t>
      </w:r>
    </w:p>
    <w:p>
      <w:pPr>
        <w:keepNext w:val="0"/>
        <w:keepLines w:val="0"/>
        <w:widowControl/>
        <w:suppressLineNumbers w:val="0"/>
        <w:jc w:val="left"/>
        <w:rPr>
          <w:rFonts w:ascii="黑体" w:hAnsi="黑体" w:eastAsia="黑体"/>
          <w:sz w:val="32"/>
          <w:szCs w:val="32"/>
        </w:rPr>
      </w:pPr>
      <w:r>
        <w:rPr>
          <w:rFonts w:hint="eastAsia" w:ascii="仿宋" w:hAnsi="仿宋" w:eastAsia="仿宋" w:cs="仿宋"/>
          <w:color w:val="000000"/>
          <w:kern w:val="0"/>
          <w:sz w:val="34"/>
          <w:szCs w:val="34"/>
          <w:lang w:val="en-US" w:eastAsia="zh-CN" w:bidi="ar"/>
        </w:rPr>
        <w:t>平总书记扶贫论述重要思想、提升爱国主义情怀、提高自身素质、锤炼党性的基地。</w:t>
      </w:r>
    </w:p>
    <w:p>
      <w:pPr>
        <w:spacing w:line="640" w:lineRule="exact"/>
        <w:ind w:firstLine="645"/>
        <w:rPr>
          <w:rFonts w:ascii="黑体" w:hAnsi="黑体" w:eastAsia="黑体"/>
          <w:sz w:val="32"/>
          <w:szCs w:val="32"/>
        </w:rPr>
      </w:pPr>
      <w:r>
        <w:rPr>
          <w:rFonts w:hint="eastAsia" w:ascii="黑体" w:hAnsi="黑体" w:eastAsia="黑体"/>
          <w:sz w:val="32"/>
          <w:szCs w:val="32"/>
        </w:rPr>
        <w:t>二、机构设置</w:t>
      </w:r>
    </w:p>
    <w:p>
      <w:pPr>
        <w:keepNext w:val="0"/>
        <w:keepLines w:val="0"/>
        <w:widowControl/>
        <w:suppressLineNumbers w:val="0"/>
        <w:ind w:firstLine="680" w:firstLineChars="200"/>
        <w:jc w:val="left"/>
      </w:pPr>
      <w:r>
        <w:rPr>
          <w:rFonts w:ascii="仿宋" w:hAnsi="仿宋" w:eastAsia="仿宋" w:cs="仿宋"/>
          <w:color w:val="000000"/>
          <w:kern w:val="0"/>
          <w:sz w:val="34"/>
          <w:szCs w:val="34"/>
          <w:lang w:val="en-US" w:eastAsia="zh-CN" w:bidi="ar"/>
        </w:rPr>
        <w:t>办公室、财务室</w:t>
      </w:r>
    </w:p>
    <w:p>
      <w:pPr>
        <w:spacing w:line="840" w:lineRule="exact"/>
        <w:ind w:left="1767"/>
        <w:rPr>
          <w:rFonts w:ascii="仿宋_GB2312" w:hAnsi="黑体" w:eastAsia="仿宋_GB2312"/>
          <w:b/>
          <w:sz w:val="44"/>
          <w:szCs w:val="44"/>
        </w:rPr>
      </w:pPr>
    </w:p>
    <w:p>
      <w:pPr>
        <w:spacing w:line="840" w:lineRule="exact"/>
        <w:ind w:left="1767"/>
        <w:rPr>
          <w:rFonts w:ascii="仿宋_GB2312" w:hAnsi="黑体" w:eastAsia="仿宋_GB2312"/>
          <w:b/>
          <w:sz w:val="44"/>
          <w:szCs w:val="44"/>
        </w:rPr>
      </w:pPr>
    </w:p>
    <w:p>
      <w:pPr>
        <w:spacing w:line="840" w:lineRule="exact"/>
        <w:ind w:left="1767"/>
        <w:rPr>
          <w:rFonts w:ascii="仿宋_GB2312" w:hAnsi="黑体" w:eastAsia="仿宋_GB2312"/>
          <w:b/>
          <w:sz w:val="44"/>
          <w:szCs w:val="44"/>
        </w:rPr>
      </w:pPr>
    </w:p>
    <w:p>
      <w:pPr>
        <w:spacing w:line="840" w:lineRule="exact"/>
        <w:ind w:left="1767"/>
        <w:rPr>
          <w:rFonts w:ascii="仿宋_GB2312" w:hAnsi="黑体" w:eastAsia="仿宋_GB2312"/>
          <w:b/>
          <w:sz w:val="44"/>
          <w:szCs w:val="44"/>
        </w:rPr>
      </w:pPr>
    </w:p>
    <w:p>
      <w:pPr>
        <w:spacing w:line="840" w:lineRule="exact"/>
        <w:ind w:left="1767"/>
        <w:rPr>
          <w:rFonts w:ascii="仿宋_GB2312" w:hAnsi="黑体" w:eastAsia="仿宋_GB2312"/>
          <w:b/>
          <w:sz w:val="44"/>
          <w:szCs w:val="44"/>
        </w:rPr>
      </w:pPr>
    </w:p>
    <w:p>
      <w:pPr>
        <w:spacing w:line="640" w:lineRule="exact"/>
        <w:jc w:val="center"/>
        <w:rPr>
          <w:rFonts w:ascii="仿宋_GB2312" w:hAnsi="黑体" w:eastAsia="仿宋_GB2312"/>
          <w:sz w:val="32"/>
          <w:szCs w:val="32"/>
        </w:rPr>
      </w:pPr>
      <w:r>
        <w:rPr>
          <w:rFonts w:hint="eastAsia" w:ascii="仿宋_GB2312" w:hAnsi="黑体" w:eastAsia="仿宋_GB2312"/>
          <w:b/>
          <w:sz w:val="52"/>
          <w:szCs w:val="52"/>
        </w:rPr>
        <w:t>第二部分  2022年部门预算表格</w:t>
      </w:r>
    </w:p>
    <w:p>
      <w:pPr>
        <w:spacing w:line="640" w:lineRule="exact"/>
        <w:ind w:left="640"/>
        <w:rPr>
          <w:rFonts w:ascii="黑体" w:hAnsi="黑体" w:eastAsia="黑体"/>
          <w:sz w:val="32"/>
          <w:szCs w:val="32"/>
        </w:rPr>
      </w:pPr>
    </w:p>
    <w:p>
      <w:pPr>
        <w:spacing w:line="840" w:lineRule="exact"/>
        <w:jc w:val="both"/>
        <w:rPr>
          <w:rFonts w:ascii="仿宋_GB2312" w:hAnsi="黑体" w:eastAsia="仿宋_GB2312"/>
          <w:b/>
          <w:sz w:val="52"/>
          <w:szCs w:val="52"/>
        </w:rPr>
      </w:pPr>
    </w:p>
    <w:p>
      <w:pPr>
        <w:spacing w:line="840" w:lineRule="exact"/>
        <w:jc w:val="both"/>
        <w:rPr>
          <w:rFonts w:ascii="仿宋_GB2312" w:hAnsi="黑体" w:eastAsia="仿宋_GB2312"/>
          <w:b/>
          <w:sz w:val="52"/>
          <w:szCs w:val="52"/>
        </w:rPr>
      </w:pPr>
    </w:p>
    <w:p>
      <w:pPr>
        <w:spacing w:line="840" w:lineRule="exact"/>
        <w:jc w:val="both"/>
        <w:rPr>
          <w:rFonts w:ascii="仿宋_GB2312" w:hAnsi="黑体" w:eastAsia="仿宋_GB2312"/>
          <w:b/>
          <w:sz w:val="52"/>
          <w:szCs w:val="52"/>
        </w:rPr>
      </w:pPr>
    </w:p>
    <w:p>
      <w:pPr>
        <w:spacing w:line="840" w:lineRule="exact"/>
        <w:jc w:val="both"/>
        <w:rPr>
          <w:rFonts w:ascii="仿宋_GB2312" w:hAnsi="黑体" w:eastAsia="仿宋_GB2312"/>
          <w:b/>
          <w:sz w:val="52"/>
          <w:szCs w:val="52"/>
        </w:rPr>
      </w:pPr>
    </w:p>
    <w:p>
      <w:pPr>
        <w:spacing w:line="840" w:lineRule="exact"/>
        <w:jc w:val="center"/>
        <w:rPr>
          <w:rFonts w:ascii="仿宋_GB2312" w:hAnsi="黑体" w:eastAsia="仿宋_GB2312"/>
          <w:sz w:val="32"/>
          <w:szCs w:val="32"/>
        </w:rPr>
      </w:pPr>
      <w:r>
        <w:rPr>
          <w:rFonts w:hint="eastAsia" w:ascii="仿宋_GB2312" w:hAnsi="黑体" w:eastAsia="仿宋_GB2312"/>
          <w:b/>
          <w:sz w:val="52"/>
          <w:szCs w:val="52"/>
        </w:rPr>
        <w:t>第三部分  部门预算情况说明</w:t>
      </w:r>
      <w:r>
        <w:rPr>
          <w:rFonts w:hint="eastAsia" w:ascii="仿宋_GB2312" w:hAnsi="黑体" w:eastAsia="仿宋_GB2312"/>
          <w:sz w:val="32"/>
          <w:szCs w:val="32"/>
        </w:rPr>
        <w:t xml:space="preserve">  </w:t>
      </w:r>
    </w:p>
    <w:p>
      <w:pPr>
        <w:spacing w:line="640" w:lineRule="exact"/>
        <w:ind w:firstLine="640" w:firstLineChars="200"/>
        <w:rPr>
          <w:rFonts w:ascii="黑体" w:hAnsi="黑体" w:eastAsia="黑体"/>
          <w:sz w:val="32"/>
          <w:szCs w:val="32"/>
        </w:rPr>
      </w:pPr>
      <w:r>
        <w:rPr>
          <w:rFonts w:hint="eastAsia" w:ascii="黑体" w:hAnsi="黑体" w:eastAsia="黑体"/>
          <w:sz w:val="32"/>
          <w:szCs w:val="32"/>
        </w:rPr>
        <w:t>一、部门预算总体说明</w:t>
      </w:r>
    </w:p>
    <w:p>
      <w:pPr>
        <w:spacing w:line="640" w:lineRule="exact"/>
        <w:ind w:firstLine="640" w:firstLineChars="200"/>
        <w:rPr>
          <w:rFonts w:hint="default" w:ascii="仿宋_GB2312" w:hAnsi="宋体" w:eastAsia="仿宋_GB2312"/>
          <w:sz w:val="32"/>
          <w:szCs w:val="32"/>
          <w:lang w:val="en-US" w:eastAsia="zh-CN"/>
        </w:rPr>
      </w:pPr>
      <w:r>
        <w:rPr>
          <w:rFonts w:hint="eastAsia" w:ascii="仿宋_GB2312" w:hAnsi="黑体" w:eastAsia="仿宋_GB2312"/>
          <w:sz w:val="32"/>
          <w:szCs w:val="32"/>
        </w:rPr>
        <w:t>2022年预算收入850078.92元，比上年预算</w:t>
      </w:r>
      <w:r>
        <w:rPr>
          <w:rFonts w:hint="eastAsia" w:ascii="仿宋_GB2312" w:hAnsi="黑体" w:eastAsia="仿宋_GB2312"/>
          <w:sz w:val="32"/>
          <w:szCs w:val="32"/>
          <w:lang w:val="en-US" w:eastAsia="zh-CN"/>
        </w:rPr>
        <w:t>增加770078.92</w:t>
      </w:r>
      <w:r>
        <w:rPr>
          <w:rFonts w:hint="eastAsia" w:ascii="仿宋_GB2312" w:hAnsi="黑体" w:eastAsia="仿宋_GB2312"/>
          <w:sz w:val="32"/>
          <w:szCs w:val="32"/>
        </w:rPr>
        <w:t>元，</w:t>
      </w:r>
      <w:r>
        <w:rPr>
          <w:rFonts w:hint="eastAsia" w:ascii="仿宋_GB2312" w:hAnsi="宋体" w:eastAsia="仿宋_GB2312"/>
          <w:sz w:val="32"/>
          <w:szCs w:val="32"/>
          <w:lang w:val="en-US" w:eastAsia="zh-CN"/>
        </w:rPr>
        <w:t>增加962.59</w:t>
      </w:r>
      <w:r>
        <w:rPr>
          <w:rFonts w:hint="eastAsia" w:ascii="仿宋_GB2312" w:hAnsi="宋体" w:eastAsia="仿宋_GB2312"/>
          <w:sz w:val="32"/>
          <w:szCs w:val="32"/>
        </w:rPr>
        <w:t>%</w:t>
      </w: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增加</w:t>
      </w:r>
      <w:r>
        <w:rPr>
          <w:rFonts w:hint="eastAsia" w:ascii="仿宋_GB2312" w:hAnsi="宋体" w:eastAsia="仿宋_GB2312"/>
          <w:sz w:val="32"/>
          <w:szCs w:val="32"/>
        </w:rPr>
        <w:t>的主要原因是：</w:t>
      </w:r>
      <w:r>
        <w:rPr>
          <w:rFonts w:hint="eastAsia" w:ascii="仿宋_GB2312" w:hAnsi="宋体" w:eastAsia="仿宋_GB2312"/>
          <w:sz w:val="32"/>
          <w:szCs w:val="32"/>
          <w:lang w:val="en-US" w:eastAsia="zh-CN"/>
        </w:rPr>
        <w:t>人员经费列入单位预算。</w:t>
      </w:r>
      <w:r>
        <w:rPr>
          <w:rFonts w:hint="eastAsia" w:ascii="仿宋_GB2312" w:hAnsi="黑体" w:eastAsia="仿宋_GB2312"/>
          <w:sz w:val="32"/>
          <w:szCs w:val="32"/>
        </w:rPr>
        <w:t>其中：一般公共预算财政拨款收入850078.92元，政</w:t>
      </w:r>
      <w:r>
        <w:rPr>
          <w:rFonts w:hint="eastAsia" w:ascii="仿宋_GB2312" w:hAnsi="宋体" w:eastAsia="仿宋_GB2312"/>
          <w:sz w:val="32"/>
          <w:szCs w:val="32"/>
        </w:rPr>
        <w:t>府性基金预算财政拨款收入</w:t>
      </w:r>
      <w:r>
        <w:rPr>
          <w:rFonts w:hint="eastAsia" w:ascii="仿宋_GB2312" w:hAnsi="宋体" w:eastAsia="仿宋_GB2312"/>
          <w:sz w:val="32"/>
          <w:szCs w:val="32"/>
          <w:lang w:val="en-US" w:eastAsia="zh-CN"/>
        </w:rPr>
        <w:t>0</w:t>
      </w:r>
      <w:r>
        <w:rPr>
          <w:rFonts w:hint="eastAsia" w:ascii="仿宋_GB2312" w:hAnsi="宋体" w:eastAsia="仿宋_GB2312"/>
          <w:sz w:val="32"/>
          <w:szCs w:val="32"/>
        </w:rPr>
        <w:t>元。预算支出850078.92元，相应比上年预算数</w:t>
      </w:r>
      <w:r>
        <w:rPr>
          <w:rFonts w:hint="eastAsia" w:ascii="仿宋_GB2312" w:hAnsi="宋体" w:eastAsia="仿宋_GB2312"/>
          <w:sz w:val="32"/>
          <w:szCs w:val="32"/>
          <w:lang w:val="en-US" w:eastAsia="zh-CN"/>
        </w:rPr>
        <w:t>增加962.59</w:t>
      </w:r>
      <w:r>
        <w:rPr>
          <w:rFonts w:hint="eastAsia" w:ascii="仿宋_GB2312" w:hAnsi="宋体" w:eastAsia="仿宋_GB2312"/>
          <w:sz w:val="32"/>
          <w:szCs w:val="32"/>
        </w:rPr>
        <w:t>%。</w:t>
      </w:r>
      <w:r>
        <w:rPr>
          <w:rFonts w:hint="eastAsia" w:ascii="仿宋_GB2312" w:hAnsi="宋体" w:eastAsia="仿宋_GB2312"/>
          <w:sz w:val="32"/>
          <w:szCs w:val="32"/>
          <w:lang w:val="en-US" w:eastAsia="zh-CN"/>
        </w:rPr>
        <w:t>增加</w:t>
      </w:r>
      <w:r>
        <w:rPr>
          <w:rFonts w:hint="eastAsia" w:ascii="仿宋_GB2312" w:hAnsi="宋体" w:eastAsia="仿宋_GB2312"/>
          <w:sz w:val="32"/>
          <w:szCs w:val="32"/>
        </w:rPr>
        <w:t>的主要原因是：</w:t>
      </w:r>
      <w:r>
        <w:rPr>
          <w:rFonts w:hint="eastAsia" w:ascii="仿宋_GB2312" w:hAnsi="宋体" w:eastAsia="仿宋_GB2312"/>
          <w:sz w:val="32"/>
          <w:szCs w:val="32"/>
          <w:lang w:val="en-US" w:eastAsia="zh-CN"/>
        </w:rPr>
        <w:t>人员经费列入单位预算。</w:t>
      </w:r>
    </w:p>
    <w:p>
      <w:pPr>
        <w:spacing w:line="640" w:lineRule="exact"/>
        <w:ind w:firstLine="643" w:firstLineChars="200"/>
        <w:rPr>
          <w:rFonts w:ascii="仿宋_GB2312" w:hAnsi="宋体" w:eastAsia="仿宋_GB2312"/>
          <w:b/>
          <w:bCs/>
          <w:sz w:val="32"/>
          <w:szCs w:val="32"/>
        </w:rPr>
      </w:pPr>
      <w:r>
        <w:rPr>
          <w:rFonts w:hint="eastAsia" w:ascii="仿宋_GB2312" w:hAnsi="宋体" w:eastAsia="仿宋_GB2312"/>
          <w:b/>
          <w:bCs/>
          <w:sz w:val="32"/>
          <w:szCs w:val="32"/>
        </w:rPr>
        <w:t>支出按功能分类科目安排为：</w:t>
      </w:r>
    </w:p>
    <w:p>
      <w:pPr>
        <w:spacing w:line="64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一般公共服务支出8695.2元，其中：财政拨款8695.2元，</w:t>
      </w:r>
      <w:r>
        <w:rPr>
          <w:rFonts w:hint="eastAsia" w:ascii="仿宋_GB2312" w:hAnsi="黑体" w:eastAsia="仿宋_GB2312"/>
          <w:sz w:val="32"/>
          <w:szCs w:val="32"/>
        </w:rPr>
        <w:t>比上年预算</w:t>
      </w:r>
      <w:r>
        <w:rPr>
          <w:rFonts w:hint="eastAsia" w:ascii="仿宋_GB2312" w:hAnsi="黑体" w:eastAsia="仿宋_GB2312"/>
          <w:sz w:val="32"/>
          <w:szCs w:val="32"/>
          <w:lang w:val="en-US" w:eastAsia="zh-CN"/>
        </w:rPr>
        <w:t>增加100%，</w:t>
      </w:r>
      <w:r>
        <w:rPr>
          <w:rFonts w:hint="eastAsia" w:ascii="仿宋_GB2312" w:hAnsi="宋体" w:eastAsia="仿宋_GB2312"/>
          <w:sz w:val="32"/>
          <w:szCs w:val="32"/>
          <w:lang w:val="en-US" w:eastAsia="zh-CN"/>
        </w:rPr>
        <w:t>增加</w:t>
      </w:r>
      <w:r>
        <w:rPr>
          <w:rFonts w:hint="eastAsia" w:ascii="仿宋_GB2312" w:hAnsi="宋体" w:eastAsia="仿宋_GB2312"/>
          <w:sz w:val="32"/>
          <w:szCs w:val="32"/>
        </w:rPr>
        <w:t>的主要原因是：一般公共服务支出</w:t>
      </w:r>
      <w:r>
        <w:rPr>
          <w:rFonts w:hint="eastAsia" w:ascii="仿宋_GB2312" w:hAnsi="宋体" w:eastAsia="仿宋_GB2312"/>
          <w:sz w:val="32"/>
          <w:szCs w:val="32"/>
          <w:lang w:val="en-US" w:eastAsia="zh-CN"/>
        </w:rPr>
        <w:t>列入单位预算</w:t>
      </w:r>
      <w:r>
        <w:rPr>
          <w:rFonts w:hint="eastAsia" w:ascii="仿宋_GB2312" w:hAnsi="宋体" w:eastAsia="仿宋_GB2312"/>
          <w:sz w:val="32"/>
          <w:szCs w:val="32"/>
        </w:rPr>
        <w:t>。</w:t>
      </w:r>
    </w:p>
    <w:p>
      <w:pPr>
        <w:spacing w:line="64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文化旅游体育与传媒支出689874.00</w:t>
      </w:r>
      <w:r>
        <w:rPr>
          <w:rFonts w:hint="eastAsia" w:ascii="仿宋_GB2312" w:hAnsi="宋体" w:eastAsia="仿宋_GB2312"/>
          <w:sz w:val="32"/>
          <w:szCs w:val="32"/>
          <w:lang w:val="en-US" w:eastAsia="zh-CN"/>
        </w:rPr>
        <w:t>元，</w:t>
      </w:r>
      <w:r>
        <w:rPr>
          <w:rFonts w:hint="eastAsia" w:ascii="仿宋_GB2312" w:hAnsi="宋体" w:eastAsia="仿宋_GB2312"/>
          <w:sz w:val="32"/>
          <w:szCs w:val="32"/>
        </w:rPr>
        <w:t>比上年预算数</w:t>
      </w:r>
      <w:r>
        <w:rPr>
          <w:rFonts w:hint="eastAsia" w:ascii="仿宋_GB2312" w:hAnsi="宋体" w:eastAsia="仿宋_GB2312"/>
          <w:sz w:val="32"/>
          <w:szCs w:val="32"/>
          <w:lang w:val="en-US" w:eastAsia="zh-CN"/>
        </w:rPr>
        <w:t>增加762.34</w:t>
      </w:r>
      <w:r>
        <w:rPr>
          <w:rFonts w:hint="eastAsia" w:ascii="仿宋_GB2312" w:hAnsi="宋体" w:eastAsia="仿宋_GB2312"/>
          <w:sz w:val="32"/>
          <w:szCs w:val="32"/>
        </w:rPr>
        <w:t>%</w:t>
      </w:r>
      <w:r>
        <w:rPr>
          <w:rFonts w:hint="eastAsia" w:ascii="仿宋_GB2312" w:hAnsi="宋体" w:eastAsia="仿宋_GB2312"/>
          <w:sz w:val="32"/>
          <w:szCs w:val="32"/>
          <w:lang w:eastAsia="zh-CN"/>
        </w:rPr>
        <w:t>，</w:t>
      </w:r>
      <w:r>
        <w:rPr>
          <w:rFonts w:hint="eastAsia" w:ascii="仿宋_GB2312" w:hAnsi="黑体" w:eastAsia="仿宋_GB2312"/>
          <w:sz w:val="32"/>
          <w:szCs w:val="32"/>
          <w:lang w:val="en-US" w:eastAsia="zh-CN"/>
        </w:rPr>
        <w:t>，</w:t>
      </w:r>
      <w:r>
        <w:rPr>
          <w:rFonts w:hint="eastAsia" w:ascii="仿宋_GB2312" w:hAnsi="宋体" w:eastAsia="仿宋_GB2312"/>
          <w:sz w:val="32"/>
          <w:szCs w:val="32"/>
          <w:lang w:val="en-US" w:eastAsia="zh-CN"/>
        </w:rPr>
        <w:t>增加</w:t>
      </w:r>
      <w:r>
        <w:rPr>
          <w:rFonts w:hint="eastAsia" w:ascii="仿宋_GB2312" w:hAnsi="宋体" w:eastAsia="仿宋_GB2312"/>
          <w:sz w:val="32"/>
          <w:szCs w:val="32"/>
        </w:rPr>
        <w:t>的主要原因是：</w:t>
      </w:r>
      <w:r>
        <w:rPr>
          <w:rFonts w:hint="eastAsia" w:ascii="仿宋_GB2312" w:hAnsi="宋体" w:eastAsia="仿宋_GB2312"/>
          <w:sz w:val="32"/>
          <w:szCs w:val="32"/>
          <w:lang w:eastAsia="zh-CN"/>
        </w:rPr>
        <w:t>人员经费</w:t>
      </w:r>
      <w:r>
        <w:rPr>
          <w:rFonts w:hint="eastAsia" w:ascii="仿宋_GB2312" w:hAnsi="宋体" w:eastAsia="仿宋_GB2312"/>
          <w:sz w:val="32"/>
          <w:szCs w:val="32"/>
          <w:lang w:val="en-US" w:eastAsia="zh-CN"/>
        </w:rPr>
        <w:t>列入单位预算</w:t>
      </w:r>
      <w:r>
        <w:rPr>
          <w:rFonts w:hint="eastAsia" w:ascii="仿宋_GB2312" w:hAnsi="宋体" w:eastAsia="仿宋_GB2312"/>
          <w:sz w:val="32"/>
          <w:szCs w:val="32"/>
        </w:rPr>
        <w:t>。</w:t>
      </w:r>
    </w:p>
    <w:p>
      <w:pPr>
        <w:spacing w:line="64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社会保障和就业支出70431.12</w:t>
      </w:r>
      <w:r>
        <w:rPr>
          <w:rFonts w:hint="eastAsia" w:ascii="仿宋_GB2312" w:hAnsi="黑体" w:eastAsia="仿宋_GB2312"/>
          <w:sz w:val="32"/>
          <w:szCs w:val="32"/>
        </w:rPr>
        <w:t>元</w:t>
      </w:r>
      <w:r>
        <w:rPr>
          <w:rFonts w:hint="eastAsia" w:ascii="仿宋_GB2312" w:hAnsi="宋体" w:eastAsia="仿宋_GB2312"/>
          <w:sz w:val="32"/>
          <w:szCs w:val="32"/>
        </w:rPr>
        <w:t>，</w:t>
      </w:r>
      <w:r>
        <w:rPr>
          <w:rFonts w:hint="eastAsia" w:ascii="仿宋_GB2312" w:hAnsi="黑体" w:eastAsia="仿宋_GB2312"/>
          <w:sz w:val="32"/>
          <w:szCs w:val="32"/>
        </w:rPr>
        <w:t>比上年预算</w:t>
      </w:r>
      <w:r>
        <w:rPr>
          <w:rFonts w:hint="eastAsia" w:ascii="仿宋_GB2312" w:hAnsi="黑体" w:eastAsia="仿宋_GB2312"/>
          <w:sz w:val="32"/>
          <w:szCs w:val="32"/>
          <w:lang w:val="en-US" w:eastAsia="zh-CN"/>
        </w:rPr>
        <w:t>增加100%，</w:t>
      </w:r>
      <w:r>
        <w:rPr>
          <w:rFonts w:hint="eastAsia" w:ascii="仿宋_GB2312" w:hAnsi="宋体" w:eastAsia="仿宋_GB2312"/>
          <w:sz w:val="32"/>
          <w:szCs w:val="32"/>
          <w:lang w:val="en-US" w:eastAsia="zh-CN"/>
        </w:rPr>
        <w:t>增加</w:t>
      </w:r>
      <w:r>
        <w:rPr>
          <w:rFonts w:hint="eastAsia" w:ascii="仿宋_GB2312" w:hAnsi="宋体" w:eastAsia="仿宋_GB2312"/>
          <w:sz w:val="32"/>
          <w:szCs w:val="32"/>
        </w:rPr>
        <w:t>的主要原因是：社会保障和就业支出</w:t>
      </w:r>
      <w:r>
        <w:rPr>
          <w:rFonts w:hint="eastAsia" w:ascii="仿宋_GB2312" w:hAnsi="宋体" w:eastAsia="仿宋_GB2312"/>
          <w:sz w:val="32"/>
          <w:szCs w:val="32"/>
          <w:lang w:val="en-US" w:eastAsia="zh-CN"/>
        </w:rPr>
        <w:t>列入单位预算</w:t>
      </w:r>
      <w:r>
        <w:rPr>
          <w:rFonts w:hint="eastAsia" w:ascii="仿宋_GB2312" w:hAnsi="宋体" w:eastAsia="仿宋_GB2312"/>
          <w:sz w:val="32"/>
          <w:szCs w:val="32"/>
        </w:rPr>
        <w:t>。</w:t>
      </w:r>
    </w:p>
    <w:p>
      <w:pPr>
        <w:spacing w:line="64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卫生健康支出28907.40</w:t>
      </w:r>
      <w:r>
        <w:rPr>
          <w:rFonts w:hint="eastAsia" w:ascii="仿宋_GB2312" w:hAnsi="黑体" w:eastAsia="仿宋_GB2312"/>
          <w:sz w:val="32"/>
          <w:szCs w:val="32"/>
        </w:rPr>
        <w:t>元</w:t>
      </w:r>
      <w:r>
        <w:rPr>
          <w:rFonts w:hint="eastAsia" w:ascii="仿宋_GB2312" w:hAnsi="黑体" w:eastAsia="仿宋_GB2312"/>
          <w:sz w:val="32"/>
          <w:szCs w:val="32"/>
          <w:lang w:eastAsia="zh-CN"/>
        </w:rPr>
        <w:t>，</w:t>
      </w:r>
      <w:r>
        <w:rPr>
          <w:rFonts w:hint="eastAsia" w:ascii="仿宋_GB2312" w:hAnsi="黑体" w:eastAsia="仿宋_GB2312"/>
          <w:sz w:val="32"/>
          <w:szCs w:val="32"/>
        </w:rPr>
        <w:t>比上年预算</w:t>
      </w:r>
      <w:r>
        <w:rPr>
          <w:rFonts w:hint="eastAsia" w:ascii="仿宋_GB2312" w:hAnsi="黑体" w:eastAsia="仿宋_GB2312"/>
          <w:sz w:val="32"/>
          <w:szCs w:val="32"/>
          <w:lang w:val="en-US" w:eastAsia="zh-CN"/>
        </w:rPr>
        <w:t>增加100%，</w:t>
      </w:r>
      <w:r>
        <w:rPr>
          <w:rFonts w:hint="eastAsia" w:ascii="仿宋_GB2312" w:hAnsi="宋体" w:eastAsia="仿宋_GB2312"/>
          <w:sz w:val="32"/>
          <w:szCs w:val="32"/>
          <w:lang w:val="en-US" w:eastAsia="zh-CN"/>
        </w:rPr>
        <w:t>增加</w:t>
      </w:r>
      <w:r>
        <w:rPr>
          <w:rFonts w:hint="eastAsia" w:ascii="仿宋_GB2312" w:hAnsi="宋体" w:eastAsia="仿宋_GB2312"/>
          <w:sz w:val="32"/>
          <w:szCs w:val="32"/>
        </w:rPr>
        <w:t>的主要原因是：卫生健康支出</w:t>
      </w:r>
      <w:r>
        <w:rPr>
          <w:rFonts w:hint="eastAsia" w:ascii="仿宋_GB2312" w:hAnsi="宋体" w:eastAsia="仿宋_GB2312"/>
          <w:sz w:val="32"/>
          <w:szCs w:val="32"/>
          <w:lang w:val="en-US" w:eastAsia="zh-CN"/>
        </w:rPr>
        <w:t>列入单位预算</w:t>
      </w:r>
      <w:r>
        <w:rPr>
          <w:rFonts w:hint="eastAsia" w:ascii="仿宋_GB2312" w:hAnsi="宋体" w:eastAsia="仿宋_GB2312"/>
          <w:sz w:val="32"/>
          <w:szCs w:val="32"/>
        </w:rPr>
        <w:t>。</w:t>
      </w:r>
    </w:p>
    <w:p>
      <w:pPr>
        <w:spacing w:line="64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住房保障支出52171.20</w:t>
      </w:r>
      <w:r>
        <w:rPr>
          <w:rFonts w:hint="eastAsia" w:ascii="仿宋_GB2312" w:hAnsi="黑体" w:eastAsia="仿宋_GB2312"/>
          <w:sz w:val="32"/>
          <w:szCs w:val="32"/>
        </w:rPr>
        <w:t>元</w:t>
      </w:r>
      <w:r>
        <w:rPr>
          <w:rFonts w:hint="eastAsia" w:ascii="仿宋_GB2312" w:hAnsi="黑体" w:eastAsia="仿宋_GB2312"/>
          <w:sz w:val="32"/>
          <w:szCs w:val="32"/>
          <w:lang w:eastAsia="zh-CN"/>
        </w:rPr>
        <w:t>，</w:t>
      </w:r>
      <w:r>
        <w:rPr>
          <w:rFonts w:hint="eastAsia" w:ascii="仿宋_GB2312" w:hAnsi="黑体" w:eastAsia="仿宋_GB2312"/>
          <w:sz w:val="32"/>
          <w:szCs w:val="32"/>
        </w:rPr>
        <w:t>比上年预算</w:t>
      </w:r>
      <w:r>
        <w:rPr>
          <w:rFonts w:hint="eastAsia" w:ascii="仿宋_GB2312" w:hAnsi="黑体" w:eastAsia="仿宋_GB2312"/>
          <w:sz w:val="32"/>
          <w:szCs w:val="32"/>
          <w:lang w:val="en-US" w:eastAsia="zh-CN"/>
        </w:rPr>
        <w:t>增加100%，</w:t>
      </w:r>
      <w:r>
        <w:rPr>
          <w:rFonts w:hint="eastAsia" w:ascii="仿宋_GB2312" w:hAnsi="宋体" w:eastAsia="仿宋_GB2312"/>
          <w:sz w:val="32"/>
          <w:szCs w:val="32"/>
          <w:lang w:val="en-US" w:eastAsia="zh-CN"/>
        </w:rPr>
        <w:t>增加</w:t>
      </w:r>
      <w:r>
        <w:rPr>
          <w:rFonts w:hint="eastAsia" w:ascii="仿宋_GB2312" w:hAnsi="宋体" w:eastAsia="仿宋_GB2312"/>
          <w:sz w:val="32"/>
          <w:szCs w:val="32"/>
        </w:rPr>
        <w:t>的主要原因是：住房保障支出</w:t>
      </w:r>
      <w:r>
        <w:rPr>
          <w:rFonts w:hint="eastAsia" w:ascii="仿宋_GB2312" w:hAnsi="宋体" w:eastAsia="仿宋_GB2312"/>
          <w:sz w:val="32"/>
          <w:szCs w:val="32"/>
          <w:lang w:val="en-US" w:eastAsia="zh-CN"/>
        </w:rPr>
        <w:t>列入单位预算</w:t>
      </w:r>
      <w:r>
        <w:rPr>
          <w:rFonts w:hint="eastAsia" w:ascii="仿宋_GB2312" w:hAnsi="宋体" w:eastAsia="仿宋_GB2312"/>
          <w:sz w:val="32"/>
          <w:szCs w:val="32"/>
        </w:rPr>
        <w:t>。</w:t>
      </w:r>
    </w:p>
    <w:p>
      <w:pPr>
        <w:spacing w:line="640" w:lineRule="exact"/>
        <w:ind w:firstLine="643" w:firstLineChars="200"/>
        <w:rPr>
          <w:rFonts w:ascii="仿宋_GB2312" w:hAnsi="黑体" w:eastAsia="仿宋_GB2312"/>
          <w:b/>
          <w:sz w:val="32"/>
          <w:szCs w:val="32"/>
        </w:rPr>
      </w:pPr>
      <w:r>
        <w:rPr>
          <w:rFonts w:hint="eastAsia" w:ascii="仿宋_GB2312" w:hAnsi="黑体" w:eastAsia="仿宋_GB2312"/>
          <w:b/>
          <w:sz w:val="32"/>
          <w:szCs w:val="32"/>
        </w:rPr>
        <w:t>支出按经济分类科目安排为：</w:t>
      </w:r>
    </w:p>
    <w:p>
      <w:pPr>
        <w:spacing w:line="640" w:lineRule="exact"/>
        <w:ind w:firstLine="640" w:firstLineChars="200"/>
        <w:rPr>
          <w:rFonts w:hint="eastAsia" w:ascii="仿宋_GB2312" w:hAnsi="宋体" w:eastAsia="仿宋_GB2312"/>
          <w:sz w:val="32"/>
          <w:szCs w:val="32"/>
          <w:highlight w:val="none"/>
        </w:rPr>
      </w:pPr>
      <w:r>
        <w:rPr>
          <w:rFonts w:hint="eastAsia" w:ascii="仿宋_GB2312" w:hAnsi="宋体" w:eastAsia="仿宋_GB2312"/>
          <w:sz w:val="32"/>
          <w:szCs w:val="32"/>
        </w:rPr>
        <w:t>工资福利支出</w:t>
      </w:r>
      <w:r>
        <w:rPr>
          <w:rFonts w:hint="eastAsia" w:ascii="仿宋_GB2312" w:hAnsi="黑体" w:eastAsia="仿宋_GB2312"/>
          <w:sz w:val="32"/>
          <w:szCs w:val="32"/>
          <w:highlight w:val="none"/>
        </w:rPr>
        <w:t>720078.92</w:t>
      </w:r>
      <w:r>
        <w:rPr>
          <w:rFonts w:hint="eastAsia" w:ascii="仿宋_GB2312" w:hAnsi="宋体" w:eastAsia="仿宋_GB2312"/>
          <w:sz w:val="32"/>
          <w:szCs w:val="32"/>
          <w:highlight w:val="none"/>
        </w:rPr>
        <w:t>元，</w:t>
      </w:r>
      <w:r>
        <w:rPr>
          <w:rFonts w:hint="eastAsia" w:ascii="仿宋_GB2312" w:hAnsi="黑体" w:eastAsia="仿宋_GB2312"/>
          <w:sz w:val="32"/>
          <w:szCs w:val="32"/>
        </w:rPr>
        <w:t>比上年预算</w:t>
      </w:r>
      <w:r>
        <w:rPr>
          <w:rFonts w:hint="eastAsia" w:ascii="仿宋_GB2312" w:hAnsi="黑体" w:eastAsia="仿宋_GB2312"/>
          <w:sz w:val="32"/>
          <w:szCs w:val="32"/>
          <w:lang w:val="en-US" w:eastAsia="zh-CN"/>
        </w:rPr>
        <w:t>增加100%，</w:t>
      </w:r>
      <w:r>
        <w:rPr>
          <w:rFonts w:hint="eastAsia" w:ascii="仿宋_GB2312" w:hAnsi="宋体" w:eastAsia="仿宋_GB2312"/>
          <w:sz w:val="32"/>
          <w:szCs w:val="32"/>
          <w:lang w:val="en-US" w:eastAsia="zh-CN"/>
        </w:rPr>
        <w:t>增加</w:t>
      </w:r>
      <w:r>
        <w:rPr>
          <w:rFonts w:hint="eastAsia" w:ascii="仿宋_GB2312" w:hAnsi="宋体" w:eastAsia="仿宋_GB2312"/>
          <w:sz w:val="32"/>
          <w:szCs w:val="32"/>
        </w:rPr>
        <w:t>的主要原因是：</w:t>
      </w:r>
      <w:r>
        <w:rPr>
          <w:rFonts w:hint="eastAsia" w:ascii="仿宋_GB2312" w:hAnsi="宋体" w:eastAsia="仿宋_GB2312"/>
          <w:sz w:val="32"/>
          <w:szCs w:val="32"/>
          <w:lang w:eastAsia="zh-CN"/>
        </w:rPr>
        <w:t>工资福利支出</w:t>
      </w:r>
      <w:r>
        <w:rPr>
          <w:rFonts w:hint="eastAsia" w:ascii="仿宋_GB2312" w:hAnsi="宋体" w:eastAsia="仿宋_GB2312"/>
          <w:sz w:val="32"/>
          <w:szCs w:val="32"/>
          <w:lang w:val="en-US" w:eastAsia="zh-CN"/>
        </w:rPr>
        <w:t>列入单位预算</w:t>
      </w:r>
      <w:r>
        <w:rPr>
          <w:rFonts w:hint="eastAsia" w:ascii="仿宋_GB2312" w:hAnsi="宋体" w:eastAsia="仿宋_GB2312"/>
          <w:sz w:val="32"/>
          <w:szCs w:val="32"/>
        </w:rPr>
        <w:t>。</w:t>
      </w:r>
    </w:p>
    <w:p>
      <w:pPr>
        <w:spacing w:line="64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highlight w:val="none"/>
        </w:rPr>
        <w:t>商品和服务</w:t>
      </w:r>
      <w:r>
        <w:rPr>
          <w:rFonts w:hint="eastAsia" w:ascii="仿宋_GB2312" w:hAnsi="宋体" w:eastAsia="仿宋_GB2312"/>
          <w:sz w:val="32"/>
          <w:szCs w:val="32"/>
          <w:highlight w:val="none"/>
          <w:lang w:eastAsia="zh-CN"/>
        </w:rPr>
        <w:t>支出</w:t>
      </w:r>
      <w:r>
        <w:rPr>
          <w:rFonts w:hint="eastAsia" w:ascii="仿宋_GB2312" w:hAnsi="黑体" w:eastAsia="仿宋_GB2312"/>
          <w:sz w:val="32"/>
          <w:szCs w:val="32"/>
          <w:highlight w:val="none"/>
          <w:lang w:val="en-US" w:eastAsia="zh-CN"/>
        </w:rPr>
        <w:t>130000</w:t>
      </w:r>
      <w:r>
        <w:rPr>
          <w:rFonts w:hint="eastAsia" w:ascii="仿宋_GB2312" w:hAnsi="宋体" w:eastAsia="仿宋_GB2312"/>
          <w:sz w:val="32"/>
          <w:szCs w:val="32"/>
          <w:highlight w:val="none"/>
        </w:rPr>
        <w:t>元</w:t>
      </w:r>
      <w:r>
        <w:rPr>
          <w:rFonts w:hint="eastAsia" w:ascii="仿宋_GB2312" w:hAnsi="宋体" w:eastAsia="仿宋_GB2312"/>
          <w:sz w:val="32"/>
          <w:szCs w:val="32"/>
          <w:highlight w:val="none"/>
          <w:lang w:eastAsia="zh-CN"/>
        </w:rPr>
        <w:t>，</w:t>
      </w:r>
      <w:r>
        <w:rPr>
          <w:rFonts w:hint="eastAsia" w:ascii="仿宋_GB2312" w:hAnsi="黑体" w:eastAsia="仿宋_GB2312"/>
          <w:sz w:val="32"/>
          <w:szCs w:val="32"/>
        </w:rPr>
        <w:t>比上年预算</w:t>
      </w:r>
      <w:r>
        <w:rPr>
          <w:rFonts w:hint="eastAsia" w:ascii="仿宋_GB2312" w:hAnsi="黑体" w:eastAsia="仿宋_GB2312"/>
          <w:sz w:val="32"/>
          <w:szCs w:val="32"/>
          <w:lang w:val="en-US" w:eastAsia="zh-CN"/>
        </w:rPr>
        <w:t>增加62.5%，</w:t>
      </w:r>
      <w:r>
        <w:rPr>
          <w:rFonts w:hint="eastAsia" w:ascii="仿宋_GB2312" w:hAnsi="宋体" w:eastAsia="仿宋_GB2312"/>
          <w:sz w:val="32"/>
          <w:szCs w:val="32"/>
          <w:lang w:val="en-US" w:eastAsia="zh-CN"/>
        </w:rPr>
        <w:t>增加</w:t>
      </w:r>
      <w:r>
        <w:rPr>
          <w:rFonts w:hint="eastAsia" w:ascii="仿宋_GB2312" w:hAnsi="宋体" w:eastAsia="仿宋_GB2312"/>
          <w:sz w:val="32"/>
          <w:szCs w:val="32"/>
        </w:rPr>
        <w:t>的主要原因是：</w:t>
      </w:r>
      <w:r>
        <w:rPr>
          <w:rFonts w:hint="eastAsia" w:ascii="仿宋_GB2312" w:hAnsi="宋体" w:eastAsia="仿宋_GB2312"/>
          <w:sz w:val="32"/>
          <w:szCs w:val="32"/>
          <w:lang w:eastAsia="zh-CN"/>
        </w:rPr>
        <w:t>取暖费</w:t>
      </w:r>
      <w:r>
        <w:rPr>
          <w:rFonts w:hint="eastAsia" w:ascii="仿宋_GB2312" w:hAnsi="宋体" w:eastAsia="仿宋_GB2312"/>
          <w:sz w:val="32"/>
          <w:szCs w:val="32"/>
          <w:lang w:val="en-US" w:eastAsia="zh-CN"/>
        </w:rPr>
        <w:t>列入单位预算</w:t>
      </w:r>
      <w:r>
        <w:rPr>
          <w:rFonts w:hint="eastAsia" w:ascii="仿宋_GB2312" w:hAnsi="宋体" w:eastAsia="仿宋_GB2312"/>
          <w:sz w:val="32"/>
          <w:szCs w:val="32"/>
          <w:highlight w:val="none"/>
        </w:rPr>
        <w:t>。</w:t>
      </w:r>
    </w:p>
    <w:p>
      <w:pPr>
        <w:spacing w:line="640" w:lineRule="exact"/>
        <w:ind w:firstLine="640" w:firstLineChars="200"/>
        <w:rPr>
          <w:rFonts w:ascii="仿宋_GB2312" w:hAnsi="黑体" w:eastAsia="仿宋_GB2312"/>
          <w:color w:val="FF0000"/>
          <w:sz w:val="32"/>
          <w:szCs w:val="32"/>
        </w:rPr>
      </w:pPr>
      <w:r>
        <w:rPr>
          <w:rFonts w:hint="eastAsia" w:ascii="黑体" w:hAnsi="黑体" w:eastAsia="黑体"/>
          <w:sz w:val="32"/>
          <w:szCs w:val="32"/>
        </w:rPr>
        <w:t>二、部门一般公共预算支出情况说明</w:t>
      </w:r>
    </w:p>
    <w:p>
      <w:pPr>
        <w:spacing w:line="640" w:lineRule="exact"/>
        <w:ind w:firstLine="643" w:firstLineChars="200"/>
        <w:rPr>
          <w:rFonts w:hint="eastAsia" w:ascii="仿宋_GB2312" w:hAnsi="宋体" w:eastAsia="仿宋_GB2312"/>
          <w:sz w:val="32"/>
          <w:szCs w:val="32"/>
        </w:rPr>
      </w:pPr>
      <w:r>
        <w:rPr>
          <w:rFonts w:hint="eastAsia" w:ascii="楷体_GB2312" w:hAnsi="黑体" w:eastAsia="楷体_GB2312"/>
          <w:b/>
          <w:sz w:val="32"/>
          <w:szCs w:val="32"/>
        </w:rPr>
        <w:t>（一）一般公共服务支出（类）群众团体事务（款）</w:t>
      </w:r>
      <w:r>
        <w:rPr>
          <w:rFonts w:hint="eastAsia" w:ascii="仿宋_GB2312" w:hAnsi="黑体" w:eastAsia="仿宋_GB2312"/>
          <w:sz w:val="32"/>
          <w:szCs w:val="32"/>
        </w:rPr>
        <w:t>2022年预算支出8695.2元，比上年预算数</w:t>
      </w:r>
      <w:r>
        <w:rPr>
          <w:rFonts w:hint="eastAsia" w:ascii="仿宋_GB2312" w:hAnsi="宋体" w:eastAsia="仿宋_GB2312"/>
          <w:sz w:val="32"/>
          <w:szCs w:val="32"/>
          <w:lang w:val="en-US" w:eastAsia="zh-CN"/>
        </w:rPr>
        <w:t>增加100</w:t>
      </w:r>
      <w:r>
        <w:rPr>
          <w:rFonts w:hint="eastAsia" w:ascii="仿宋_GB2312" w:hAnsi="宋体" w:eastAsia="仿宋_GB2312"/>
          <w:sz w:val="32"/>
          <w:szCs w:val="32"/>
        </w:rPr>
        <w:t>%</w:t>
      </w:r>
      <w:r>
        <w:rPr>
          <w:rFonts w:hint="eastAsia" w:ascii="仿宋_GB2312" w:hAnsi="宋体" w:eastAsia="仿宋_GB2312"/>
          <w:sz w:val="32"/>
          <w:szCs w:val="32"/>
          <w:lang w:eastAsia="zh-CN"/>
        </w:rPr>
        <w:t>，增加的主要原因是：工会经费列入单位预算</w:t>
      </w:r>
      <w:r>
        <w:rPr>
          <w:rFonts w:hint="eastAsia" w:ascii="仿宋_GB2312" w:hAnsi="黑体" w:eastAsia="仿宋_GB2312"/>
          <w:sz w:val="32"/>
          <w:szCs w:val="32"/>
        </w:rPr>
        <w:t>。其中：工会事务（项）2022年预算支出8695.2</w:t>
      </w:r>
      <w:r>
        <w:rPr>
          <w:rFonts w:hint="eastAsia" w:ascii="仿宋_GB2312" w:hAnsi="黑体" w:eastAsia="仿宋_GB2312"/>
          <w:sz w:val="32"/>
          <w:szCs w:val="32"/>
          <w:lang w:eastAsia="zh-CN"/>
        </w:rPr>
        <w:t>元，</w:t>
      </w:r>
      <w:r>
        <w:rPr>
          <w:rFonts w:hint="eastAsia" w:ascii="仿宋_GB2312" w:hAnsi="黑体" w:eastAsia="仿宋_GB2312"/>
          <w:sz w:val="32"/>
          <w:szCs w:val="32"/>
        </w:rPr>
        <w:t>比上年预算数</w:t>
      </w:r>
      <w:r>
        <w:rPr>
          <w:rFonts w:hint="eastAsia" w:ascii="仿宋_GB2312" w:hAnsi="宋体" w:eastAsia="仿宋_GB2312"/>
          <w:sz w:val="32"/>
          <w:szCs w:val="32"/>
          <w:lang w:val="en-US" w:eastAsia="zh-CN"/>
        </w:rPr>
        <w:t>增加100</w:t>
      </w:r>
      <w:r>
        <w:rPr>
          <w:rFonts w:hint="eastAsia" w:ascii="仿宋_GB2312" w:hAnsi="宋体" w:eastAsia="仿宋_GB2312"/>
          <w:sz w:val="32"/>
          <w:szCs w:val="32"/>
        </w:rPr>
        <w:t>%</w:t>
      </w:r>
      <w:r>
        <w:rPr>
          <w:rFonts w:hint="eastAsia" w:ascii="仿宋_GB2312" w:hAnsi="宋体" w:eastAsia="仿宋_GB2312"/>
          <w:sz w:val="32"/>
          <w:szCs w:val="32"/>
          <w:lang w:eastAsia="zh-CN"/>
        </w:rPr>
        <w:t>，增加的主要原因是：工会经费列入单位预算</w:t>
      </w:r>
      <w:r>
        <w:rPr>
          <w:rFonts w:hint="eastAsia" w:ascii="仿宋_GB2312" w:hAnsi="宋体" w:eastAsia="仿宋_GB2312"/>
          <w:sz w:val="32"/>
          <w:szCs w:val="32"/>
        </w:rPr>
        <w:t>。</w:t>
      </w:r>
    </w:p>
    <w:p>
      <w:pPr>
        <w:spacing w:line="640" w:lineRule="exact"/>
        <w:ind w:firstLine="643" w:firstLineChars="200"/>
        <w:rPr>
          <w:rFonts w:hint="eastAsia" w:ascii="仿宋_GB2312" w:hAnsi="宋体" w:eastAsia="仿宋_GB2312"/>
          <w:sz w:val="32"/>
          <w:szCs w:val="32"/>
        </w:rPr>
      </w:pPr>
      <w:r>
        <w:rPr>
          <w:rFonts w:hint="eastAsia" w:ascii="楷体_GB2312" w:hAnsi="黑体" w:eastAsia="楷体_GB2312"/>
          <w:b/>
          <w:sz w:val="32"/>
          <w:szCs w:val="32"/>
        </w:rPr>
        <w:t>（</w:t>
      </w:r>
      <w:r>
        <w:rPr>
          <w:rFonts w:hint="eastAsia" w:ascii="楷体_GB2312" w:hAnsi="黑体" w:eastAsia="楷体_GB2312"/>
          <w:b/>
          <w:sz w:val="32"/>
          <w:szCs w:val="32"/>
          <w:lang w:val="en-US" w:eastAsia="zh-CN"/>
        </w:rPr>
        <w:t>二</w:t>
      </w:r>
      <w:r>
        <w:rPr>
          <w:rFonts w:hint="eastAsia" w:ascii="楷体_GB2312" w:hAnsi="黑体" w:eastAsia="楷体_GB2312"/>
          <w:b/>
          <w:sz w:val="32"/>
          <w:szCs w:val="32"/>
        </w:rPr>
        <w:t>）文化旅游体育与传媒支出（类）文化和旅游（款）</w:t>
      </w:r>
      <w:r>
        <w:rPr>
          <w:rFonts w:hint="eastAsia" w:ascii="仿宋_GB2312" w:hAnsi="黑体" w:eastAsia="仿宋_GB2312"/>
          <w:sz w:val="32"/>
          <w:szCs w:val="32"/>
        </w:rPr>
        <w:t>2022年预算支出537874.00元，比上年预算数</w:t>
      </w:r>
      <w:r>
        <w:rPr>
          <w:rFonts w:hint="eastAsia" w:ascii="仿宋_GB2312" w:hAnsi="宋体" w:eastAsia="仿宋_GB2312"/>
          <w:sz w:val="32"/>
          <w:szCs w:val="32"/>
          <w:lang w:val="en-US" w:eastAsia="zh-CN"/>
        </w:rPr>
        <w:t>增加100</w:t>
      </w:r>
      <w:r>
        <w:rPr>
          <w:rFonts w:hint="eastAsia" w:ascii="仿宋_GB2312" w:hAnsi="宋体" w:eastAsia="仿宋_GB2312"/>
          <w:sz w:val="32"/>
          <w:szCs w:val="32"/>
        </w:rPr>
        <w:t>%</w:t>
      </w:r>
      <w:r>
        <w:rPr>
          <w:rFonts w:hint="eastAsia" w:ascii="仿宋_GB2312" w:hAnsi="宋体" w:eastAsia="仿宋_GB2312"/>
          <w:sz w:val="32"/>
          <w:szCs w:val="32"/>
          <w:lang w:eastAsia="zh-CN"/>
        </w:rPr>
        <w:t>，增加的主要原因是：人员工资列入单位预算</w:t>
      </w:r>
      <w:r>
        <w:rPr>
          <w:rFonts w:hint="eastAsia" w:ascii="仿宋_GB2312" w:hAnsi="黑体" w:eastAsia="仿宋_GB2312"/>
          <w:sz w:val="32"/>
          <w:szCs w:val="32"/>
        </w:rPr>
        <w:t>。其中：行政运行（项）2022年预算支出537874.00元，比上年预算数</w:t>
      </w:r>
      <w:r>
        <w:rPr>
          <w:rFonts w:hint="eastAsia" w:ascii="仿宋_GB2312" w:hAnsi="宋体" w:eastAsia="仿宋_GB2312"/>
          <w:sz w:val="32"/>
          <w:szCs w:val="32"/>
          <w:lang w:val="en-US" w:eastAsia="zh-CN"/>
        </w:rPr>
        <w:t>增加100</w:t>
      </w:r>
      <w:r>
        <w:rPr>
          <w:rFonts w:hint="eastAsia" w:ascii="仿宋_GB2312" w:hAnsi="宋体" w:eastAsia="仿宋_GB2312"/>
          <w:sz w:val="32"/>
          <w:szCs w:val="32"/>
        </w:rPr>
        <w:t>%</w:t>
      </w:r>
      <w:r>
        <w:rPr>
          <w:rFonts w:hint="eastAsia" w:ascii="仿宋_GB2312" w:hAnsi="宋体" w:eastAsia="仿宋_GB2312"/>
          <w:sz w:val="32"/>
          <w:szCs w:val="32"/>
          <w:lang w:eastAsia="zh-CN"/>
        </w:rPr>
        <w:t>，增加的主要原因是：人员工资列入单位预算</w:t>
      </w:r>
      <w:r>
        <w:rPr>
          <w:rFonts w:hint="eastAsia" w:ascii="仿宋_GB2312" w:hAnsi="宋体" w:eastAsia="仿宋_GB2312"/>
          <w:sz w:val="32"/>
          <w:szCs w:val="32"/>
        </w:rPr>
        <w:t>。</w:t>
      </w:r>
    </w:p>
    <w:p>
      <w:pPr>
        <w:spacing w:line="640" w:lineRule="exact"/>
        <w:ind w:firstLine="643" w:firstLineChars="200"/>
        <w:rPr>
          <w:rFonts w:hint="eastAsia" w:ascii="仿宋_GB2312" w:hAnsi="黑体" w:eastAsia="仿宋_GB2312"/>
          <w:sz w:val="32"/>
          <w:szCs w:val="32"/>
        </w:rPr>
      </w:pPr>
      <w:r>
        <w:rPr>
          <w:rFonts w:hint="eastAsia" w:ascii="楷体_GB2312" w:hAnsi="黑体" w:eastAsia="楷体_GB2312"/>
          <w:b/>
          <w:sz w:val="32"/>
          <w:szCs w:val="32"/>
        </w:rPr>
        <w:t>文化旅游体育与传媒支出（类）文物（款）</w:t>
      </w:r>
      <w:r>
        <w:rPr>
          <w:rFonts w:hint="eastAsia" w:ascii="仿宋_GB2312" w:hAnsi="黑体" w:eastAsia="仿宋_GB2312"/>
          <w:sz w:val="32"/>
          <w:szCs w:val="32"/>
        </w:rPr>
        <w:t>2022年预算支出152000.00元，比上年预算数</w:t>
      </w:r>
      <w:r>
        <w:rPr>
          <w:rFonts w:hint="eastAsia" w:ascii="仿宋_GB2312" w:hAnsi="宋体" w:eastAsia="仿宋_GB2312"/>
          <w:sz w:val="32"/>
          <w:szCs w:val="32"/>
          <w:lang w:val="en-US" w:eastAsia="zh-CN"/>
        </w:rPr>
        <w:t>增加90</w:t>
      </w:r>
      <w:r>
        <w:rPr>
          <w:rFonts w:hint="eastAsia" w:ascii="仿宋_GB2312" w:hAnsi="宋体" w:eastAsia="仿宋_GB2312"/>
          <w:sz w:val="32"/>
          <w:szCs w:val="32"/>
        </w:rPr>
        <w:t>%</w:t>
      </w:r>
      <w:r>
        <w:rPr>
          <w:rFonts w:hint="eastAsia" w:ascii="仿宋_GB2312" w:hAnsi="宋体" w:eastAsia="仿宋_GB2312"/>
          <w:sz w:val="32"/>
          <w:szCs w:val="32"/>
          <w:lang w:eastAsia="zh-CN"/>
        </w:rPr>
        <w:t>，增加的主要原因是：项目支出增加</w:t>
      </w:r>
      <w:r>
        <w:rPr>
          <w:rFonts w:hint="eastAsia" w:ascii="仿宋_GB2312" w:hAnsi="宋体" w:eastAsia="仿宋_GB2312"/>
          <w:sz w:val="32"/>
          <w:szCs w:val="32"/>
        </w:rPr>
        <w:t>。</w:t>
      </w:r>
      <w:r>
        <w:rPr>
          <w:rFonts w:hint="eastAsia" w:ascii="仿宋_GB2312" w:hAnsi="黑体" w:eastAsia="仿宋_GB2312"/>
          <w:sz w:val="32"/>
          <w:szCs w:val="32"/>
        </w:rPr>
        <w:t>其中：行政运行（项）2022年预算支出152000.00元，比上年预算数</w:t>
      </w:r>
      <w:r>
        <w:rPr>
          <w:rFonts w:hint="eastAsia" w:ascii="仿宋_GB2312" w:hAnsi="宋体" w:eastAsia="仿宋_GB2312"/>
          <w:sz w:val="32"/>
          <w:szCs w:val="32"/>
          <w:lang w:val="en-US" w:eastAsia="zh-CN"/>
        </w:rPr>
        <w:t>增加90</w:t>
      </w:r>
      <w:r>
        <w:rPr>
          <w:rFonts w:hint="eastAsia" w:ascii="仿宋_GB2312" w:hAnsi="宋体" w:eastAsia="仿宋_GB2312"/>
          <w:sz w:val="32"/>
          <w:szCs w:val="32"/>
        </w:rPr>
        <w:t>%</w:t>
      </w:r>
      <w:r>
        <w:rPr>
          <w:rFonts w:hint="eastAsia" w:ascii="仿宋_GB2312" w:hAnsi="宋体" w:eastAsia="仿宋_GB2312"/>
          <w:sz w:val="32"/>
          <w:szCs w:val="32"/>
          <w:lang w:eastAsia="zh-CN"/>
        </w:rPr>
        <w:t>，增加的主要原因是：项目支出增加</w:t>
      </w:r>
      <w:r>
        <w:rPr>
          <w:rFonts w:hint="eastAsia" w:ascii="仿宋_GB2312" w:hAnsi="宋体" w:eastAsia="仿宋_GB2312"/>
          <w:sz w:val="32"/>
          <w:szCs w:val="32"/>
        </w:rPr>
        <w:t>。</w:t>
      </w:r>
    </w:p>
    <w:p>
      <w:pPr>
        <w:spacing w:line="640" w:lineRule="exact"/>
        <w:ind w:firstLine="643" w:firstLineChars="200"/>
        <w:rPr>
          <w:rFonts w:hint="eastAsia" w:ascii="仿宋_GB2312" w:hAnsi="黑体" w:eastAsia="仿宋_GB2312"/>
          <w:sz w:val="32"/>
          <w:szCs w:val="32"/>
        </w:rPr>
      </w:pPr>
      <w:r>
        <w:rPr>
          <w:rFonts w:hint="eastAsia" w:ascii="仿宋_GB2312" w:hAnsi="黑体" w:eastAsia="仿宋_GB2312"/>
          <w:b/>
          <w:sz w:val="32"/>
          <w:szCs w:val="32"/>
        </w:rPr>
        <w:t>（</w:t>
      </w:r>
      <w:r>
        <w:rPr>
          <w:rFonts w:hint="eastAsia" w:ascii="仿宋_GB2312" w:hAnsi="黑体" w:eastAsia="仿宋_GB2312"/>
          <w:b/>
          <w:sz w:val="32"/>
          <w:szCs w:val="32"/>
          <w:lang w:val="en-US" w:eastAsia="zh-CN"/>
        </w:rPr>
        <w:t>三</w:t>
      </w:r>
      <w:r>
        <w:rPr>
          <w:rFonts w:hint="eastAsia" w:ascii="仿宋_GB2312" w:hAnsi="黑体" w:eastAsia="仿宋_GB2312"/>
          <w:b/>
          <w:sz w:val="32"/>
          <w:szCs w:val="32"/>
        </w:rPr>
        <w:t>）社会保障和就业支出（类</w:t>
      </w:r>
      <w:r>
        <w:rPr>
          <w:rFonts w:hint="eastAsia" w:ascii="仿宋_GB2312" w:hAnsi="黑体" w:eastAsia="仿宋_GB2312"/>
          <w:sz w:val="32"/>
          <w:szCs w:val="32"/>
        </w:rPr>
        <w:t>）行政事业单位养老支出（款）2022年预算支出69561.60元，比上年预算数</w:t>
      </w:r>
      <w:r>
        <w:rPr>
          <w:rFonts w:hint="eastAsia" w:ascii="仿宋_GB2312" w:hAnsi="宋体" w:eastAsia="仿宋_GB2312"/>
          <w:sz w:val="32"/>
          <w:szCs w:val="32"/>
          <w:lang w:val="en-US" w:eastAsia="zh-CN"/>
        </w:rPr>
        <w:t>增加100</w:t>
      </w:r>
      <w:r>
        <w:rPr>
          <w:rFonts w:hint="eastAsia" w:ascii="仿宋_GB2312" w:hAnsi="宋体" w:eastAsia="仿宋_GB2312"/>
          <w:sz w:val="32"/>
          <w:szCs w:val="32"/>
        </w:rPr>
        <w:t>%</w:t>
      </w:r>
      <w:r>
        <w:rPr>
          <w:rFonts w:hint="eastAsia" w:ascii="仿宋_GB2312" w:hAnsi="宋体" w:eastAsia="仿宋_GB2312"/>
          <w:sz w:val="32"/>
          <w:szCs w:val="32"/>
          <w:lang w:eastAsia="zh-CN"/>
        </w:rPr>
        <w:t>，增加的主要原因是：</w:t>
      </w:r>
      <w:r>
        <w:rPr>
          <w:rFonts w:hint="eastAsia" w:ascii="仿宋_GB2312" w:hAnsi="黑体" w:eastAsia="仿宋_GB2312"/>
          <w:sz w:val="32"/>
          <w:szCs w:val="32"/>
        </w:rPr>
        <w:t>机关事业单位基本养老保险缴费支出</w:t>
      </w:r>
      <w:r>
        <w:rPr>
          <w:rFonts w:hint="eastAsia" w:ascii="仿宋_GB2312" w:hAnsi="宋体" w:eastAsia="仿宋_GB2312"/>
          <w:sz w:val="32"/>
          <w:szCs w:val="32"/>
          <w:lang w:eastAsia="zh-CN"/>
        </w:rPr>
        <w:t>列入单位预算</w:t>
      </w:r>
      <w:r>
        <w:rPr>
          <w:rFonts w:hint="eastAsia" w:ascii="仿宋_GB2312" w:hAnsi="宋体" w:eastAsia="仿宋_GB2312"/>
          <w:sz w:val="32"/>
          <w:szCs w:val="32"/>
        </w:rPr>
        <w:t>。</w:t>
      </w:r>
      <w:r>
        <w:rPr>
          <w:rFonts w:hint="eastAsia" w:ascii="仿宋_GB2312" w:hAnsi="黑体" w:eastAsia="仿宋_GB2312"/>
          <w:sz w:val="32"/>
          <w:szCs w:val="32"/>
        </w:rPr>
        <w:t>其中：机关事业单位基本养老保险缴费支出（项）2022年预算支出69561.60元，比上年预算数</w:t>
      </w:r>
      <w:r>
        <w:rPr>
          <w:rFonts w:hint="eastAsia" w:ascii="仿宋_GB2312" w:hAnsi="宋体" w:eastAsia="仿宋_GB2312"/>
          <w:sz w:val="32"/>
          <w:szCs w:val="32"/>
          <w:lang w:val="en-US" w:eastAsia="zh-CN"/>
        </w:rPr>
        <w:t>增加100</w:t>
      </w:r>
      <w:r>
        <w:rPr>
          <w:rFonts w:hint="eastAsia" w:ascii="仿宋_GB2312" w:hAnsi="宋体" w:eastAsia="仿宋_GB2312"/>
          <w:sz w:val="32"/>
          <w:szCs w:val="32"/>
        </w:rPr>
        <w:t>%</w:t>
      </w:r>
      <w:r>
        <w:rPr>
          <w:rFonts w:hint="eastAsia" w:ascii="仿宋_GB2312" w:hAnsi="宋体" w:eastAsia="仿宋_GB2312"/>
          <w:sz w:val="32"/>
          <w:szCs w:val="32"/>
          <w:lang w:eastAsia="zh-CN"/>
        </w:rPr>
        <w:t>，增加的主要原因是：</w:t>
      </w:r>
      <w:r>
        <w:rPr>
          <w:rFonts w:hint="eastAsia" w:ascii="仿宋_GB2312" w:hAnsi="黑体" w:eastAsia="仿宋_GB2312"/>
          <w:sz w:val="32"/>
          <w:szCs w:val="32"/>
        </w:rPr>
        <w:t>机关事业单位基本养老保险缴费支出</w:t>
      </w:r>
      <w:r>
        <w:rPr>
          <w:rFonts w:hint="eastAsia" w:ascii="仿宋_GB2312" w:hAnsi="宋体" w:eastAsia="仿宋_GB2312"/>
          <w:sz w:val="32"/>
          <w:szCs w:val="32"/>
          <w:lang w:eastAsia="zh-CN"/>
        </w:rPr>
        <w:t>列入单位预算</w:t>
      </w:r>
      <w:r>
        <w:rPr>
          <w:rFonts w:hint="eastAsia" w:ascii="仿宋_GB2312" w:hAnsi="宋体" w:eastAsia="仿宋_GB2312"/>
          <w:sz w:val="32"/>
          <w:szCs w:val="32"/>
        </w:rPr>
        <w:t>。</w:t>
      </w:r>
    </w:p>
    <w:p>
      <w:pPr>
        <w:spacing w:line="640" w:lineRule="exact"/>
        <w:ind w:firstLine="643" w:firstLineChars="200"/>
        <w:rPr>
          <w:rFonts w:hint="eastAsia" w:ascii="仿宋_GB2312" w:hAnsi="黑体" w:eastAsia="仿宋_GB2312"/>
          <w:sz w:val="32"/>
          <w:szCs w:val="32"/>
        </w:rPr>
      </w:pPr>
      <w:r>
        <w:rPr>
          <w:rFonts w:hint="eastAsia" w:ascii="仿宋_GB2312" w:hAnsi="黑体" w:eastAsia="仿宋_GB2312"/>
          <w:b/>
          <w:sz w:val="32"/>
          <w:szCs w:val="32"/>
        </w:rPr>
        <w:t>社会保障和就业支出（类</w:t>
      </w:r>
      <w:r>
        <w:rPr>
          <w:rFonts w:hint="eastAsia" w:ascii="仿宋_GB2312" w:hAnsi="黑体" w:eastAsia="仿宋_GB2312"/>
          <w:sz w:val="32"/>
          <w:szCs w:val="32"/>
        </w:rPr>
        <w:t>）财政对其他社会保险基金的补</w:t>
      </w:r>
      <w:r>
        <w:rPr>
          <w:rFonts w:hint="eastAsia" w:ascii="仿宋_GB2312" w:hAnsi="黑体" w:eastAsia="仿宋_GB2312"/>
          <w:sz w:val="32"/>
          <w:szCs w:val="32"/>
          <w:lang w:val="en-US" w:eastAsia="zh-CN"/>
        </w:rPr>
        <w:t>助</w:t>
      </w:r>
      <w:r>
        <w:rPr>
          <w:rFonts w:hint="eastAsia" w:ascii="仿宋_GB2312" w:hAnsi="黑体" w:eastAsia="仿宋_GB2312"/>
          <w:sz w:val="32"/>
          <w:szCs w:val="32"/>
        </w:rPr>
        <w:t>（款）2022年预算支出869.52元，，比上年预算数</w:t>
      </w:r>
      <w:r>
        <w:rPr>
          <w:rFonts w:hint="eastAsia" w:ascii="仿宋_GB2312" w:hAnsi="宋体" w:eastAsia="仿宋_GB2312"/>
          <w:sz w:val="32"/>
          <w:szCs w:val="32"/>
          <w:lang w:val="en-US" w:eastAsia="zh-CN"/>
        </w:rPr>
        <w:t>增加100</w:t>
      </w:r>
      <w:r>
        <w:rPr>
          <w:rFonts w:hint="eastAsia" w:ascii="仿宋_GB2312" w:hAnsi="宋体" w:eastAsia="仿宋_GB2312"/>
          <w:sz w:val="32"/>
          <w:szCs w:val="32"/>
        </w:rPr>
        <w:t>%</w:t>
      </w:r>
      <w:r>
        <w:rPr>
          <w:rFonts w:hint="eastAsia" w:ascii="仿宋_GB2312" w:hAnsi="宋体" w:eastAsia="仿宋_GB2312"/>
          <w:sz w:val="32"/>
          <w:szCs w:val="32"/>
          <w:lang w:eastAsia="zh-CN"/>
        </w:rPr>
        <w:t>，增加的主要原因是：</w:t>
      </w:r>
      <w:r>
        <w:rPr>
          <w:rFonts w:hint="eastAsia" w:ascii="仿宋_GB2312" w:hAnsi="黑体" w:eastAsia="仿宋_GB2312"/>
          <w:sz w:val="32"/>
          <w:szCs w:val="32"/>
        </w:rPr>
        <w:t>工伤保险</w:t>
      </w:r>
      <w:r>
        <w:rPr>
          <w:rFonts w:hint="eastAsia" w:ascii="仿宋_GB2312" w:hAnsi="宋体" w:eastAsia="仿宋_GB2312"/>
          <w:sz w:val="32"/>
          <w:szCs w:val="32"/>
          <w:lang w:eastAsia="zh-CN"/>
        </w:rPr>
        <w:t>列入单位预算</w:t>
      </w:r>
      <w:r>
        <w:rPr>
          <w:rFonts w:hint="eastAsia" w:ascii="仿宋_GB2312" w:hAnsi="宋体" w:eastAsia="仿宋_GB2312"/>
          <w:sz w:val="32"/>
          <w:szCs w:val="32"/>
        </w:rPr>
        <w:t>。</w:t>
      </w:r>
      <w:r>
        <w:rPr>
          <w:rFonts w:hint="eastAsia" w:ascii="仿宋_GB2312" w:hAnsi="黑体" w:eastAsia="仿宋_GB2312"/>
          <w:sz w:val="32"/>
          <w:szCs w:val="32"/>
        </w:rPr>
        <w:t>其中：财政对工伤保险基金的补助（项）2022年预算支出869.52元，比上年预算数</w:t>
      </w:r>
      <w:r>
        <w:rPr>
          <w:rFonts w:hint="eastAsia" w:ascii="仿宋_GB2312" w:hAnsi="宋体" w:eastAsia="仿宋_GB2312"/>
          <w:sz w:val="32"/>
          <w:szCs w:val="32"/>
          <w:lang w:val="en-US" w:eastAsia="zh-CN"/>
        </w:rPr>
        <w:t>增加100</w:t>
      </w:r>
      <w:r>
        <w:rPr>
          <w:rFonts w:hint="eastAsia" w:ascii="仿宋_GB2312" w:hAnsi="宋体" w:eastAsia="仿宋_GB2312"/>
          <w:sz w:val="32"/>
          <w:szCs w:val="32"/>
        </w:rPr>
        <w:t>%</w:t>
      </w:r>
      <w:r>
        <w:rPr>
          <w:rFonts w:hint="eastAsia" w:ascii="仿宋_GB2312" w:hAnsi="宋体" w:eastAsia="仿宋_GB2312"/>
          <w:sz w:val="32"/>
          <w:szCs w:val="32"/>
          <w:lang w:eastAsia="zh-CN"/>
        </w:rPr>
        <w:t>，增加的主要原因是：</w:t>
      </w:r>
      <w:r>
        <w:rPr>
          <w:rFonts w:hint="eastAsia" w:ascii="仿宋_GB2312" w:hAnsi="黑体" w:eastAsia="仿宋_GB2312"/>
          <w:sz w:val="32"/>
          <w:szCs w:val="32"/>
        </w:rPr>
        <w:t>工伤保险</w:t>
      </w:r>
      <w:r>
        <w:rPr>
          <w:rFonts w:hint="eastAsia" w:ascii="仿宋_GB2312" w:hAnsi="宋体" w:eastAsia="仿宋_GB2312"/>
          <w:sz w:val="32"/>
          <w:szCs w:val="32"/>
          <w:lang w:eastAsia="zh-CN"/>
        </w:rPr>
        <w:t>列入单位预算</w:t>
      </w:r>
      <w:r>
        <w:rPr>
          <w:rFonts w:hint="eastAsia" w:ascii="仿宋_GB2312" w:hAnsi="宋体" w:eastAsia="仿宋_GB2312"/>
          <w:sz w:val="32"/>
          <w:szCs w:val="32"/>
        </w:rPr>
        <w:t>。</w:t>
      </w:r>
    </w:p>
    <w:p>
      <w:pPr>
        <w:spacing w:line="640" w:lineRule="exact"/>
        <w:ind w:firstLine="643" w:firstLineChars="200"/>
        <w:rPr>
          <w:rFonts w:hint="eastAsia" w:ascii="仿宋_GB2312" w:hAnsi="黑体" w:eastAsia="仿宋_GB2312"/>
          <w:sz w:val="32"/>
          <w:szCs w:val="32"/>
        </w:rPr>
      </w:pPr>
      <w:r>
        <w:rPr>
          <w:rFonts w:hint="eastAsia" w:ascii="仿宋_GB2312" w:hAnsi="黑体" w:eastAsia="仿宋_GB2312"/>
          <w:b/>
          <w:sz w:val="32"/>
          <w:szCs w:val="32"/>
        </w:rPr>
        <w:t>（</w:t>
      </w:r>
      <w:r>
        <w:rPr>
          <w:rFonts w:hint="eastAsia" w:ascii="仿宋_GB2312" w:hAnsi="黑体" w:eastAsia="仿宋_GB2312"/>
          <w:b/>
          <w:sz w:val="32"/>
          <w:szCs w:val="32"/>
          <w:lang w:val="en-US" w:eastAsia="zh-CN"/>
        </w:rPr>
        <w:t>四</w:t>
      </w:r>
      <w:r>
        <w:rPr>
          <w:rFonts w:hint="eastAsia" w:ascii="仿宋_GB2312" w:hAnsi="黑体" w:eastAsia="仿宋_GB2312"/>
          <w:b/>
          <w:sz w:val="32"/>
          <w:szCs w:val="32"/>
        </w:rPr>
        <w:t>）卫生健康支出（类</w:t>
      </w:r>
      <w:r>
        <w:rPr>
          <w:rFonts w:hint="eastAsia" w:ascii="仿宋_GB2312" w:hAnsi="黑体" w:eastAsia="仿宋_GB2312"/>
          <w:sz w:val="32"/>
          <w:szCs w:val="32"/>
        </w:rPr>
        <w:t>）财政对基本医疗保险基金的补助（款）2022年预算支出</w:t>
      </w:r>
      <w:r>
        <w:rPr>
          <w:rFonts w:hint="eastAsia" w:ascii="仿宋_GB2312" w:hAnsi="宋体" w:eastAsia="仿宋_GB2312"/>
          <w:sz w:val="32"/>
          <w:szCs w:val="32"/>
          <w:lang w:val="en-US" w:eastAsia="zh-CN"/>
        </w:rPr>
        <w:t>增加28907.40</w:t>
      </w:r>
      <w:r>
        <w:rPr>
          <w:rFonts w:hint="eastAsia" w:ascii="仿宋_GB2312" w:hAnsi="黑体" w:eastAsia="仿宋_GB2312"/>
          <w:sz w:val="32"/>
          <w:szCs w:val="32"/>
        </w:rPr>
        <w:t>元，比上年预算数</w:t>
      </w:r>
      <w:r>
        <w:rPr>
          <w:rFonts w:hint="eastAsia" w:ascii="仿宋_GB2312" w:hAnsi="宋体" w:eastAsia="仿宋_GB2312"/>
          <w:sz w:val="32"/>
          <w:szCs w:val="32"/>
          <w:lang w:val="en-US" w:eastAsia="zh-CN"/>
        </w:rPr>
        <w:t>增加100</w:t>
      </w:r>
      <w:r>
        <w:rPr>
          <w:rFonts w:hint="eastAsia" w:ascii="仿宋_GB2312" w:hAnsi="宋体" w:eastAsia="仿宋_GB2312"/>
          <w:sz w:val="32"/>
          <w:szCs w:val="32"/>
        </w:rPr>
        <w:t>%</w:t>
      </w:r>
      <w:r>
        <w:rPr>
          <w:rFonts w:hint="eastAsia" w:ascii="仿宋_GB2312" w:hAnsi="宋体" w:eastAsia="仿宋_GB2312"/>
          <w:sz w:val="32"/>
          <w:szCs w:val="32"/>
          <w:lang w:eastAsia="zh-CN"/>
        </w:rPr>
        <w:t>，增加的主要原因是：</w:t>
      </w:r>
      <w:r>
        <w:rPr>
          <w:rFonts w:hint="eastAsia" w:ascii="仿宋_GB2312" w:hAnsi="黑体" w:eastAsia="仿宋_GB2312"/>
          <w:sz w:val="32"/>
          <w:szCs w:val="32"/>
          <w:lang w:eastAsia="zh-CN"/>
        </w:rPr>
        <w:t>医疗</w:t>
      </w:r>
      <w:r>
        <w:rPr>
          <w:rFonts w:hint="eastAsia" w:ascii="仿宋_GB2312" w:hAnsi="黑体" w:eastAsia="仿宋_GB2312"/>
          <w:sz w:val="32"/>
          <w:szCs w:val="32"/>
        </w:rPr>
        <w:t>保险</w:t>
      </w:r>
      <w:r>
        <w:rPr>
          <w:rFonts w:hint="eastAsia" w:ascii="仿宋_GB2312" w:hAnsi="宋体" w:eastAsia="仿宋_GB2312"/>
          <w:sz w:val="32"/>
          <w:szCs w:val="32"/>
          <w:lang w:eastAsia="zh-CN"/>
        </w:rPr>
        <w:t>列入单位预算</w:t>
      </w:r>
      <w:r>
        <w:rPr>
          <w:rFonts w:hint="eastAsia" w:ascii="仿宋_GB2312" w:hAnsi="宋体" w:eastAsia="仿宋_GB2312"/>
          <w:sz w:val="32"/>
          <w:szCs w:val="32"/>
        </w:rPr>
        <w:t>。</w:t>
      </w:r>
      <w:r>
        <w:rPr>
          <w:rFonts w:hint="eastAsia" w:ascii="仿宋_GB2312" w:hAnsi="黑体" w:eastAsia="仿宋_GB2312"/>
          <w:sz w:val="32"/>
          <w:szCs w:val="32"/>
        </w:rPr>
        <w:t>其中：财政对职工基本医疗保险基金的补助（项）2022年预算支出28907.40元，比上年预算数</w:t>
      </w:r>
      <w:r>
        <w:rPr>
          <w:rFonts w:hint="eastAsia" w:ascii="仿宋_GB2312" w:hAnsi="宋体" w:eastAsia="仿宋_GB2312"/>
          <w:sz w:val="32"/>
          <w:szCs w:val="32"/>
          <w:lang w:val="en-US" w:eastAsia="zh-CN"/>
        </w:rPr>
        <w:t>增加100</w:t>
      </w:r>
      <w:r>
        <w:rPr>
          <w:rFonts w:hint="eastAsia" w:ascii="仿宋_GB2312" w:hAnsi="宋体" w:eastAsia="仿宋_GB2312"/>
          <w:sz w:val="32"/>
          <w:szCs w:val="32"/>
        </w:rPr>
        <w:t>%</w:t>
      </w:r>
      <w:r>
        <w:rPr>
          <w:rFonts w:hint="eastAsia" w:ascii="仿宋_GB2312" w:hAnsi="宋体" w:eastAsia="仿宋_GB2312"/>
          <w:sz w:val="32"/>
          <w:szCs w:val="32"/>
          <w:lang w:eastAsia="zh-CN"/>
        </w:rPr>
        <w:t>，增加的主要原因是：</w:t>
      </w:r>
      <w:r>
        <w:rPr>
          <w:rFonts w:hint="eastAsia" w:ascii="仿宋_GB2312" w:hAnsi="黑体" w:eastAsia="仿宋_GB2312"/>
          <w:sz w:val="32"/>
          <w:szCs w:val="32"/>
          <w:lang w:eastAsia="zh-CN"/>
        </w:rPr>
        <w:t>医疗</w:t>
      </w:r>
      <w:r>
        <w:rPr>
          <w:rFonts w:hint="eastAsia" w:ascii="仿宋_GB2312" w:hAnsi="黑体" w:eastAsia="仿宋_GB2312"/>
          <w:sz w:val="32"/>
          <w:szCs w:val="32"/>
        </w:rPr>
        <w:t>保险</w:t>
      </w:r>
      <w:r>
        <w:rPr>
          <w:rFonts w:hint="eastAsia" w:ascii="仿宋_GB2312" w:hAnsi="宋体" w:eastAsia="仿宋_GB2312"/>
          <w:sz w:val="32"/>
          <w:szCs w:val="32"/>
          <w:lang w:eastAsia="zh-CN"/>
        </w:rPr>
        <w:t>列入单位预算</w:t>
      </w:r>
      <w:r>
        <w:rPr>
          <w:rFonts w:hint="eastAsia" w:ascii="仿宋_GB2312" w:hAnsi="宋体" w:eastAsia="仿宋_GB2312"/>
          <w:sz w:val="32"/>
          <w:szCs w:val="32"/>
        </w:rPr>
        <w:t>。</w:t>
      </w:r>
    </w:p>
    <w:p>
      <w:pPr>
        <w:spacing w:line="640" w:lineRule="exact"/>
        <w:ind w:firstLine="643" w:firstLineChars="200"/>
        <w:rPr>
          <w:rFonts w:hint="eastAsia" w:ascii="仿宋_GB2312" w:hAnsi="黑体" w:eastAsia="仿宋_GB2312"/>
          <w:sz w:val="32"/>
          <w:szCs w:val="32"/>
        </w:rPr>
      </w:pPr>
      <w:r>
        <w:rPr>
          <w:rFonts w:hint="eastAsia" w:ascii="仿宋_GB2312" w:hAnsi="黑体" w:eastAsia="仿宋_GB2312"/>
          <w:b/>
          <w:sz w:val="32"/>
          <w:szCs w:val="32"/>
        </w:rPr>
        <w:t>（</w:t>
      </w:r>
      <w:r>
        <w:rPr>
          <w:rFonts w:hint="eastAsia" w:ascii="仿宋_GB2312" w:hAnsi="黑体" w:eastAsia="仿宋_GB2312"/>
          <w:b/>
          <w:sz w:val="32"/>
          <w:szCs w:val="32"/>
          <w:lang w:val="en-US" w:eastAsia="zh-CN"/>
        </w:rPr>
        <w:t>五</w:t>
      </w:r>
      <w:r>
        <w:rPr>
          <w:rFonts w:hint="eastAsia" w:ascii="仿宋_GB2312" w:hAnsi="黑体" w:eastAsia="仿宋_GB2312"/>
          <w:b/>
          <w:sz w:val="32"/>
          <w:szCs w:val="32"/>
        </w:rPr>
        <w:t>）住房保障支出（类</w:t>
      </w:r>
      <w:r>
        <w:rPr>
          <w:rFonts w:hint="eastAsia" w:ascii="仿宋_GB2312" w:hAnsi="黑体" w:eastAsia="仿宋_GB2312"/>
          <w:sz w:val="32"/>
          <w:szCs w:val="32"/>
        </w:rPr>
        <w:t>）住房改革支出（款）2022年预算支出52171.20元，比上年预算数</w:t>
      </w:r>
      <w:r>
        <w:rPr>
          <w:rFonts w:hint="eastAsia" w:ascii="仿宋_GB2312" w:hAnsi="宋体" w:eastAsia="仿宋_GB2312"/>
          <w:sz w:val="32"/>
          <w:szCs w:val="32"/>
          <w:lang w:val="en-US" w:eastAsia="zh-CN"/>
        </w:rPr>
        <w:t>增加100</w:t>
      </w:r>
      <w:r>
        <w:rPr>
          <w:rFonts w:hint="eastAsia" w:ascii="仿宋_GB2312" w:hAnsi="宋体" w:eastAsia="仿宋_GB2312"/>
          <w:sz w:val="32"/>
          <w:szCs w:val="32"/>
        </w:rPr>
        <w:t>%</w:t>
      </w:r>
      <w:r>
        <w:rPr>
          <w:rFonts w:hint="eastAsia" w:ascii="仿宋_GB2312" w:hAnsi="宋体" w:eastAsia="仿宋_GB2312"/>
          <w:sz w:val="32"/>
          <w:szCs w:val="32"/>
          <w:lang w:eastAsia="zh-CN"/>
        </w:rPr>
        <w:t>，增加的主要原因是：</w:t>
      </w:r>
      <w:r>
        <w:rPr>
          <w:rFonts w:hint="eastAsia" w:ascii="仿宋_GB2312" w:hAnsi="黑体" w:eastAsia="仿宋_GB2312"/>
          <w:sz w:val="32"/>
          <w:szCs w:val="32"/>
        </w:rPr>
        <w:t>住房公积金</w:t>
      </w:r>
      <w:r>
        <w:rPr>
          <w:rFonts w:hint="eastAsia" w:ascii="仿宋_GB2312" w:hAnsi="宋体" w:eastAsia="仿宋_GB2312"/>
          <w:sz w:val="32"/>
          <w:szCs w:val="32"/>
          <w:lang w:eastAsia="zh-CN"/>
        </w:rPr>
        <w:t>列入单位预算</w:t>
      </w:r>
      <w:r>
        <w:rPr>
          <w:rFonts w:hint="eastAsia" w:ascii="仿宋_GB2312" w:hAnsi="宋体" w:eastAsia="仿宋_GB2312"/>
          <w:sz w:val="32"/>
          <w:szCs w:val="32"/>
        </w:rPr>
        <w:t>。</w:t>
      </w:r>
      <w:r>
        <w:rPr>
          <w:rFonts w:hint="eastAsia" w:ascii="仿宋_GB2312" w:hAnsi="黑体" w:eastAsia="仿宋_GB2312"/>
          <w:sz w:val="32"/>
          <w:szCs w:val="32"/>
        </w:rPr>
        <w:t>其中：住房公积金（项）2022年预算支出52171.20元，比上年预算数</w:t>
      </w:r>
      <w:r>
        <w:rPr>
          <w:rFonts w:hint="eastAsia" w:ascii="仿宋_GB2312" w:hAnsi="宋体" w:eastAsia="仿宋_GB2312"/>
          <w:sz w:val="32"/>
          <w:szCs w:val="32"/>
          <w:lang w:val="en-US" w:eastAsia="zh-CN"/>
        </w:rPr>
        <w:t>增加100</w:t>
      </w:r>
      <w:r>
        <w:rPr>
          <w:rFonts w:hint="eastAsia" w:ascii="仿宋_GB2312" w:hAnsi="宋体" w:eastAsia="仿宋_GB2312"/>
          <w:sz w:val="32"/>
          <w:szCs w:val="32"/>
        </w:rPr>
        <w:t>%</w:t>
      </w:r>
      <w:r>
        <w:rPr>
          <w:rFonts w:hint="eastAsia" w:ascii="仿宋_GB2312" w:hAnsi="宋体" w:eastAsia="仿宋_GB2312"/>
          <w:sz w:val="32"/>
          <w:szCs w:val="32"/>
          <w:lang w:eastAsia="zh-CN"/>
        </w:rPr>
        <w:t>，增加的主要原因是：</w:t>
      </w:r>
      <w:r>
        <w:rPr>
          <w:rFonts w:hint="eastAsia" w:ascii="仿宋_GB2312" w:hAnsi="黑体" w:eastAsia="仿宋_GB2312"/>
          <w:sz w:val="32"/>
          <w:szCs w:val="32"/>
        </w:rPr>
        <w:t>住房公积金</w:t>
      </w:r>
      <w:r>
        <w:rPr>
          <w:rFonts w:hint="eastAsia" w:ascii="仿宋_GB2312" w:hAnsi="宋体" w:eastAsia="仿宋_GB2312"/>
          <w:sz w:val="32"/>
          <w:szCs w:val="32"/>
          <w:lang w:eastAsia="zh-CN"/>
        </w:rPr>
        <w:t>列入单位预算</w:t>
      </w:r>
      <w:r>
        <w:rPr>
          <w:rFonts w:hint="eastAsia" w:ascii="仿宋_GB2312" w:hAnsi="宋体" w:eastAsia="仿宋_GB2312"/>
          <w:sz w:val="32"/>
          <w:szCs w:val="32"/>
        </w:rPr>
        <w:t>。</w:t>
      </w:r>
    </w:p>
    <w:p>
      <w:pPr>
        <w:spacing w:line="640" w:lineRule="exact"/>
        <w:ind w:firstLine="640" w:firstLineChars="200"/>
        <w:rPr>
          <w:rFonts w:ascii="黑体" w:hAnsi="黑体" w:eastAsia="黑体"/>
          <w:sz w:val="32"/>
          <w:szCs w:val="32"/>
        </w:rPr>
      </w:pPr>
      <w:r>
        <w:rPr>
          <w:rFonts w:hint="eastAsia" w:ascii="黑体" w:hAnsi="黑体" w:eastAsia="黑体"/>
          <w:sz w:val="32"/>
          <w:szCs w:val="32"/>
        </w:rPr>
        <w:t>三、部门一般公共预算基本支出情况说明</w:t>
      </w:r>
    </w:p>
    <w:p>
      <w:pPr>
        <w:ind w:firstLine="640" w:firstLineChars="200"/>
        <w:rPr>
          <w:rFonts w:hint="default"/>
          <w:lang w:val="en-US"/>
        </w:rPr>
      </w:pPr>
      <w:r>
        <w:rPr>
          <w:rFonts w:hint="eastAsia" w:ascii="仿宋_GB2312" w:hAnsi="黑体" w:eastAsia="仿宋_GB2312"/>
          <w:sz w:val="32"/>
          <w:szCs w:val="32"/>
        </w:rPr>
        <w:t>2022年一般公共预算基本支出</w:t>
      </w:r>
      <w:r>
        <w:rPr>
          <w:rFonts w:hint="eastAsia" w:ascii="仿宋_GB2312" w:hAnsi="宋体" w:eastAsia="仿宋_GB2312"/>
          <w:sz w:val="32"/>
          <w:szCs w:val="32"/>
        </w:rPr>
        <w:t>800078.92</w:t>
      </w:r>
      <w:r>
        <w:rPr>
          <w:rFonts w:hint="eastAsia" w:ascii="仿宋_GB2312" w:hAnsi="黑体" w:eastAsia="仿宋_GB2312"/>
          <w:sz w:val="32"/>
          <w:szCs w:val="32"/>
        </w:rPr>
        <w:t>元，其中：人员经费720078.92元，单位运转经费8</w:t>
      </w:r>
      <w:r>
        <w:rPr>
          <w:rFonts w:hint="eastAsia" w:ascii="仿宋_GB2312" w:hAnsi="黑体" w:eastAsia="仿宋_GB2312"/>
          <w:sz w:val="32"/>
          <w:szCs w:val="32"/>
          <w:lang w:val="en-US" w:eastAsia="zh-CN"/>
        </w:rPr>
        <w:t>0</w:t>
      </w:r>
      <w:r>
        <w:rPr>
          <w:rFonts w:hint="eastAsia" w:ascii="仿宋_GB2312" w:hAnsi="黑体" w:eastAsia="仿宋_GB2312"/>
          <w:sz w:val="32"/>
          <w:szCs w:val="32"/>
        </w:rPr>
        <w:t>000元，专项资金</w:t>
      </w:r>
      <w:r>
        <w:rPr>
          <w:rFonts w:hint="eastAsia" w:ascii="仿宋_GB2312" w:hAnsi="黑体" w:eastAsia="仿宋_GB2312"/>
          <w:sz w:val="32"/>
          <w:szCs w:val="32"/>
          <w:lang w:val="en-US" w:eastAsia="zh-CN"/>
        </w:rPr>
        <w:t>0</w:t>
      </w:r>
      <w:r>
        <w:rPr>
          <w:rFonts w:hint="eastAsia" w:ascii="仿宋_GB2312" w:hAnsi="黑体" w:eastAsia="仿宋_GB2312"/>
          <w:sz w:val="32"/>
          <w:szCs w:val="32"/>
        </w:rPr>
        <w:t>元，比上年预算数</w:t>
      </w:r>
      <w:r>
        <w:rPr>
          <w:rFonts w:hint="eastAsia" w:ascii="仿宋_GB2312" w:hAnsi="宋体" w:eastAsia="仿宋_GB2312"/>
          <w:sz w:val="32"/>
          <w:szCs w:val="32"/>
          <w:lang w:val="en-US" w:eastAsia="zh-CN"/>
        </w:rPr>
        <w:t>增加900.1</w:t>
      </w:r>
      <w:r>
        <w:rPr>
          <w:rFonts w:hint="eastAsia" w:ascii="仿宋_GB2312" w:hAnsi="宋体" w:eastAsia="仿宋_GB2312"/>
          <w:sz w:val="32"/>
          <w:szCs w:val="32"/>
        </w:rPr>
        <w:t>%</w:t>
      </w:r>
      <w:r>
        <w:rPr>
          <w:rFonts w:hint="eastAsia" w:ascii="仿宋_GB2312" w:hAnsi="宋体" w:eastAsia="仿宋_GB2312"/>
          <w:sz w:val="32"/>
          <w:szCs w:val="32"/>
          <w:lang w:eastAsia="zh-CN"/>
        </w:rPr>
        <w:t>，增加的主要原因是：</w:t>
      </w:r>
      <w:r>
        <w:rPr>
          <w:rFonts w:hint="eastAsia" w:ascii="仿宋_GB2312" w:hAnsi="黑体" w:eastAsia="仿宋_GB2312"/>
          <w:sz w:val="32"/>
          <w:szCs w:val="32"/>
          <w:lang w:eastAsia="zh-CN"/>
        </w:rPr>
        <w:t>人员类经费</w:t>
      </w:r>
      <w:r>
        <w:rPr>
          <w:rFonts w:hint="eastAsia" w:ascii="仿宋_GB2312" w:hAnsi="宋体" w:eastAsia="仿宋_GB2312"/>
          <w:sz w:val="32"/>
          <w:szCs w:val="32"/>
          <w:lang w:eastAsia="zh-CN"/>
        </w:rPr>
        <w:t>列入单位预算</w:t>
      </w:r>
      <w:r>
        <w:rPr>
          <w:rFonts w:hint="eastAsia" w:ascii="仿宋_GB2312" w:hAnsi="宋体" w:eastAsia="仿宋_GB2312"/>
          <w:sz w:val="32"/>
          <w:szCs w:val="32"/>
          <w:lang w:val="en-US" w:eastAsia="zh-CN"/>
        </w:rPr>
        <w:t>。</w:t>
      </w:r>
    </w:p>
    <w:p>
      <w:pPr>
        <w:spacing w:line="640" w:lineRule="exact"/>
        <w:ind w:firstLine="640" w:firstLineChars="200"/>
        <w:rPr>
          <w:rFonts w:ascii="黑体" w:hAnsi="黑体" w:eastAsia="黑体"/>
          <w:sz w:val="32"/>
          <w:szCs w:val="32"/>
        </w:rPr>
      </w:pPr>
      <w:r>
        <w:rPr>
          <w:rFonts w:hint="eastAsia" w:ascii="黑体" w:hAnsi="黑体" w:eastAsia="黑体"/>
          <w:sz w:val="32"/>
          <w:szCs w:val="32"/>
        </w:rPr>
        <w:t>四、部门“三公”经费情况说明</w:t>
      </w:r>
    </w:p>
    <w:p>
      <w:pPr>
        <w:spacing w:line="640" w:lineRule="exact"/>
        <w:ind w:firstLine="640" w:firstLineChars="200"/>
        <w:rPr>
          <w:rFonts w:ascii="仿宋_GB2312" w:hAnsi="黑体" w:eastAsia="仿宋_GB2312"/>
          <w:sz w:val="32"/>
          <w:szCs w:val="32"/>
        </w:rPr>
      </w:pPr>
      <w:r>
        <w:rPr>
          <w:rFonts w:hint="eastAsia" w:ascii="仿宋_GB2312" w:hAnsi="黑体" w:eastAsia="仿宋_GB2312"/>
          <w:sz w:val="32"/>
          <w:szCs w:val="32"/>
        </w:rPr>
        <w:t>2022年“三公”经费预</w:t>
      </w:r>
      <w:r>
        <w:rPr>
          <w:rFonts w:hint="eastAsia" w:ascii="仿宋_GB2312" w:hAnsi="黑体" w:eastAsia="仿宋_GB2312"/>
          <w:sz w:val="32"/>
          <w:szCs w:val="32"/>
          <w:lang w:val="en-US" w:eastAsia="zh-CN"/>
        </w:rPr>
        <w:t>0</w:t>
      </w:r>
      <w:r>
        <w:rPr>
          <w:rFonts w:hint="eastAsia" w:ascii="仿宋_GB2312" w:hAnsi="黑体" w:eastAsia="仿宋_GB2312"/>
          <w:sz w:val="32"/>
          <w:szCs w:val="32"/>
        </w:rPr>
        <w:t>元，比上年预算数</w:t>
      </w:r>
      <w:r>
        <w:rPr>
          <w:rFonts w:hint="eastAsia" w:ascii="仿宋_GB2312" w:hAnsi="黑体" w:eastAsia="仿宋_GB2312"/>
          <w:sz w:val="32"/>
          <w:szCs w:val="32"/>
          <w:lang w:eastAsia="zh-CN"/>
        </w:rPr>
        <w:t>无变化</w:t>
      </w:r>
      <w:r>
        <w:rPr>
          <w:rFonts w:hint="eastAsia" w:ascii="仿宋_GB2312" w:hAnsi="黑体" w:eastAsia="仿宋_GB2312"/>
          <w:sz w:val="32"/>
          <w:szCs w:val="32"/>
        </w:rPr>
        <w:t>，主要原因是</w:t>
      </w:r>
      <w:r>
        <w:rPr>
          <w:rFonts w:hint="eastAsia" w:ascii="仿宋_GB2312" w:hAnsi="黑体" w:eastAsia="仿宋_GB2312"/>
          <w:sz w:val="32"/>
          <w:szCs w:val="32"/>
          <w:lang w:val="en-US" w:eastAsia="zh-CN"/>
        </w:rPr>
        <w:t>无预算</w:t>
      </w:r>
      <w:r>
        <w:rPr>
          <w:rFonts w:hint="eastAsia" w:ascii="仿宋_GB2312" w:hAnsi="黑体" w:eastAsia="仿宋_GB2312"/>
          <w:sz w:val="32"/>
          <w:szCs w:val="32"/>
        </w:rPr>
        <w:t>。</w:t>
      </w:r>
    </w:p>
    <w:p>
      <w:pPr>
        <w:spacing w:line="640" w:lineRule="exact"/>
        <w:ind w:firstLine="643" w:firstLineChars="200"/>
        <w:rPr>
          <w:rFonts w:ascii="仿宋_GB2312" w:hAnsi="黑体" w:eastAsia="仿宋_GB2312"/>
          <w:color w:val="FF0000"/>
          <w:sz w:val="32"/>
          <w:szCs w:val="32"/>
        </w:rPr>
      </w:pPr>
      <w:r>
        <w:rPr>
          <w:rFonts w:hint="eastAsia" w:ascii="楷体_GB2312" w:hAnsi="黑体" w:eastAsia="楷体_GB2312"/>
          <w:b/>
          <w:sz w:val="32"/>
          <w:szCs w:val="32"/>
        </w:rPr>
        <w:t>（一）因公出国（境）费</w:t>
      </w:r>
      <w:r>
        <w:rPr>
          <w:rFonts w:hint="eastAsia" w:ascii="楷体_GB2312" w:hAnsi="黑体" w:eastAsia="楷体_GB2312"/>
          <w:b/>
          <w:sz w:val="32"/>
          <w:szCs w:val="32"/>
          <w:lang w:val="en-US" w:eastAsia="zh-CN"/>
        </w:rPr>
        <w:t>0</w:t>
      </w:r>
      <w:r>
        <w:rPr>
          <w:rFonts w:hint="eastAsia" w:ascii="仿宋_GB2312" w:hAnsi="黑体" w:eastAsia="仿宋_GB2312"/>
          <w:sz w:val="32"/>
          <w:szCs w:val="32"/>
        </w:rPr>
        <w:t>元，比上年预算数</w:t>
      </w:r>
      <w:r>
        <w:rPr>
          <w:rFonts w:hint="eastAsia" w:ascii="仿宋_GB2312" w:hAnsi="黑体" w:eastAsia="仿宋_GB2312"/>
          <w:sz w:val="32"/>
          <w:szCs w:val="32"/>
          <w:lang w:eastAsia="zh-CN"/>
        </w:rPr>
        <w:t>无变化</w:t>
      </w:r>
      <w:r>
        <w:rPr>
          <w:rFonts w:hint="eastAsia" w:ascii="仿宋_GB2312" w:hAnsi="黑体" w:eastAsia="仿宋_GB2312"/>
          <w:sz w:val="32"/>
          <w:szCs w:val="32"/>
        </w:rPr>
        <w:t>，主要原因是</w:t>
      </w:r>
      <w:r>
        <w:rPr>
          <w:rFonts w:hint="eastAsia" w:ascii="仿宋_GB2312" w:hAnsi="黑体" w:eastAsia="仿宋_GB2312"/>
          <w:sz w:val="32"/>
          <w:szCs w:val="32"/>
          <w:lang w:val="en-US" w:eastAsia="zh-CN"/>
        </w:rPr>
        <w:t>无预算</w:t>
      </w:r>
      <w:r>
        <w:rPr>
          <w:rFonts w:hint="eastAsia" w:ascii="仿宋_GB2312" w:hAnsi="黑体" w:eastAsia="仿宋_GB2312"/>
          <w:sz w:val="32"/>
          <w:szCs w:val="32"/>
        </w:rPr>
        <w:t>。</w:t>
      </w:r>
    </w:p>
    <w:p>
      <w:pPr>
        <w:spacing w:line="640" w:lineRule="exact"/>
        <w:ind w:firstLine="643" w:firstLineChars="200"/>
        <w:rPr>
          <w:rFonts w:ascii="仿宋_GB2312" w:hAnsi="黑体" w:eastAsia="仿宋_GB2312"/>
          <w:color w:val="FF0000"/>
          <w:sz w:val="32"/>
          <w:szCs w:val="32"/>
        </w:rPr>
      </w:pPr>
      <w:r>
        <w:rPr>
          <w:rFonts w:hint="eastAsia" w:ascii="楷体_GB2312" w:hAnsi="黑体" w:eastAsia="楷体_GB2312"/>
          <w:b/>
          <w:sz w:val="32"/>
          <w:szCs w:val="32"/>
        </w:rPr>
        <w:t>（二）公务接待费</w:t>
      </w:r>
      <w:r>
        <w:rPr>
          <w:rFonts w:hint="eastAsia" w:ascii="楷体_GB2312" w:hAnsi="黑体" w:eastAsia="楷体_GB2312"/>
          <w:b/>
          <w:sz w:val="32"/>
          <w:szCs w:val="32"/>
          <w:lang w:val="en-US" w:eastAsia="zh-CN"/>
        </w:rPr>
        <w:t>0</w:t>
      </w:r>
      <w:r>
        <w:rPr>
          <w:rFonts w:hint="eastAsia" w:ascii="仿宋_GB2312" w:hAnsi="黑体" w:eastAsia="仿宋_GB2312"/>
          <w:sz w:val="32"/>
          <w:szCs w:val="32"/>
        </w:rPr>
        <w:t>元，比上年预算数</w:t>
      </w:r>
      <w:r>
        <w:rPr>
          <w:rFonts w:hint="eastAsia" w:ascii="仿宋_GB2312" w:hAnsi="黑体" w:eastAsia="仿宋_GB2312"/>
          <w:sz w:val="32"/>
          <w:szCs w:val="32"/>
          <w:lang w:eastAsia="zh-CN"/>
        </w:rPr>
        <w:t>无变化</w:t>
      </w:r>
      <w:r>
        <w:rPr>
          <w:rFonts w:hint="eastAsia" w:ascii="仿宋_GB2312" w:hAnsi="黑体" w:eastAsia="仿宋_GB2312"/>
          <w:sz w:val="32"/>
          <w:szCs w:val="32"/>
        </w:rPr>
        <w:t>，主要原因是</w:t>
      </w:r>
      <w:r>
        <w:rPr>
          <w:rFonts w:hint="eastAsia" w:ascii="仿宋_GB2312" w:hAnsi="黑体" w:eastAsia="仿宋_GB2312"/>
          <w:sz w:val="32"/>
          <w:szCs w:val="32"/>
          <w:lang w:val="en-US" w:eastAsia="zh-CN"/>
        </w:rPr>
        <w:t>无预算</w:t>
      </w:r>
      <w:r>
        <w:rPr>
          <w:rFonts w:hint="eastAsia" w:ascii="仿宋_GB2312" w:hAnsi="黑体" w:eastAsia="仿宋_GB2312"/>
          <w:sz w:val="32"/>
          <w:szCs w:val="32"/>
        </w:rPr>
        <w:t>。</w:t>
      </w:r>
    </w:p>
    <w:p>
      <w:pPr>
        <w:spacing w:line="640" w:lineRule="exact"/>
        <w:ind w:firstLine="643" w:firstLineChars="200"/>
        <w:rPr>
          <w:rFonts w:ascii="仿宋_GB2312" w:hAnsi="黑体" w:eastAsia="仿宋_GB2312"/>
          <w:color w:val="FF0000"/>
          <w:sz w:val="32"/>
          <w:szCs w:val="32"/>
        </w:rPr>
      </w:pPr>
      <w:r>
        <w:rPr>
          <w:rFonts w:hint="eastAsia" w:ascii="楷体_GB2312" w:hAnsi="黑体" w:eastAsia="楷体_GB2312"/>
          <w:b/>
          <w:sz w:val="32"/>
          <w:szCs w:val="32"/>
        </w:rPr>
        <w:t>（三）公务用车购置和运行</w:t>
      </w:r>
      <w:r>
        <w:rPr>
          <w:rFonts w:hint="eastAsia" w:ascii="楷体_GB2312" w:hAnsi="黑体" w:eastAsia="楷体_GB2312"/>
          <w:b/>
          <w:sz w:val="32"/>
          <w:szCs w:val="32"/>
          <w:lang w:val="en-US" w:eastAsia="zh-CN"/>
        </w:rPr>
        <w:t>0</w:t>
      </w:r>
      <w:r>
        <w:rPr>
          <w:rFonts w:hint="eastAsia" w:ascii="仿宋_GB2312" w:hAnsi="黑体" w:eastAsia="仿宋_GB2312"/>
          <w:sz w:val="32"/>
          <w:szCs w:val="32"/>
        </w:rPr>
        <w:t>元，比上年预算数</w:t>
      </w:r>
      <w:r>
        <w:rPr>
          <w:rFonts w:hint="eastAsia" w:ascii="仿宋_GB2312" w:hAnsi="黑体" w:eastAsia="仿宋_GB2312"/>
          <w:sz w:val="32"/>
          <w:szCs w:val="32"/>
          <w:lang w:eastAsia="zh-CN"/>
        </w:rPr>
        <w:t>无变化</w:t>
      </w:r>
      <w:r>
        <w:rPr>
          <w:rFonts w:hint="eastAsia" w:ascii="仿宋_GB2312" w:hAnsi="黑体" w:eastAsia="仿宋_GB2312"/>
          <w:sz w:val="32"/>
          <w:szCs w:val="32"/>
        </w:rPr>
        <w:t>，主要原因是</w:t>
      </w:r>
      <w:r>
        <w:rPr>
          <w:rFonts w:hint="eastAsia" w:ascii="仿宋_GB2312" w:hAnsi="黑体" w:eastAsia="仿宋_GB2312"/>
          <w:sz w:val="32"/>
          <w:szCs w:val="32"/>
          <w:lang w:val="en-US" w:eastAsia="zh-CN"/>
        </w:rPr>
        <w:t>无预算</w:t>
      </w:r>
      <w:r>
        <w:rPr>
          <w:rFonts w:hint="eastAsia" w:ascii="仿宋_GB2312" w:hAnsi="黑体" w:eastAsia="仿宋_GB2312"/>
          <w:sz w:val="32"/>
          <w:szCs w:val="32"/>
        </w:rPr>
        <w:t>。</w:t>
      </w:r>
    </w:p>
    <w:p>
      <w:pPr>
        <w:spacing w:line="640" w:lineRule="exact"/>
        <w:ind w:firstLine="640" w:firstLineChars="200"/>
        <w:rPr>
          <w:rFonts w:ascii="仿宋_GB2312" w:hAnsi="黑体" w:eastAsia="仿宋_GB2312"/>
          <w:sz w:val="32"/>
          <w:szCs w:val="32"/>
        </w:rPr>
      </w:pPr>
      <w:r>
        <w:rPr>
          <w:rFonts w:hint="eastAsia" w:ascii="仿宋_GB2312" w:hAnsi="黑体" w:eastAsia="仿宋_GB2312"/>
          <w:color w:val="FF0000"/>
          <w:sz w:val="32"/>
          <w:szCs w:val="32"/>
        </w:rPr>
        <w:t xml:space="preserve"> </w:t>
      </w:r>
      <w:r>
        <w:rPr>
          <w:rFonts w:hint="eastAsia" w:ascii="楷体_GB2312" w:hAnsi="黑体" w:eastAsia="楷体_GB2312"/>
          <w:b/>
          <w:sz w:val="32"/>
          <w:szCs w:val="32"/>
        </w:rPr>
        <w:t>(四）会议费</w:t>
      </w:r>
      <w:r>
        <w:rPr>
          <w:rFonts w:hint="eastAsia" w:ascii="楷体_GB2312" w:hAnsi="黑体" w:eastAsia="楷体_GB2312"/>
          <w:b/>
          <w:sz w:val="32"/>
          <w:szCs w:val="32"/>
          <w:lang w:val="en-US" w:eastAsia="zh-CN"/>
        </w:rPr>
        <w:t>0</w:t>
      </w:r>
      <w:r>
        <w:rPr>
          <w:rFonts w:hint="eastAsia" w:ascii="仿宋_GB2312" w:hAnsi="黑体" w:eastAsia="仿宋_GB2312"/>
          <w:sz w:val="32"/>
          <w:szCs w:val="32"/>
        </w:rPr>
        <w:t>元，比上年预算数</w:t>
      </w:r>
      <w:r>
        <w:rPr>
          <w:rFonts w:hint="eastAsia" w:ascii="仿宋_GB2312" w:hAnsi="黑体" w:eastAsia="仿宋_GB2312"/>
          <w:sz w:val="32"/>
          <w:szCs w:val="32"/>
          <w:lang w:eastAsia="zh-CN"/>
        </w:rPr>
        <w:t>无变化</w:t>
      </w:r>
      <w:r>
        <w:rPr>
          <w:rFonts w:hint="eastAsia" w:ascii="仿宋_GB2312" w:hAnsi="黑体" w:eastAsia="仿宋_GB2312"/>
          <w:sz w:val="32"/>
          <w:szCs w:val="32"/>
        </w:rPr>
        <w:t>，主要原因是</w:t>
      </w:r>
      <w:r>
        <w:rPr>
          <w:rFonts w:hint="eastAsia" w:ascii="仿宋_GB2312" w:hAnsi="黑体" w:eastAsia="仿宋_GB2312"/>
          <w:sz w:val="32"/>
          <w:szCs w:val="32"/>
          <w:lang w:val="en-US" w:eastAsia="zh-CN"/>
        </w:rPr>
        <w:t>无预算</w:t>
      </w:r>
      <w:r>
        <w:rPr>
          <w:rFonts w:hint="eastAsia" w:ascii="仿宋_GB2312" w:hAnsi="黑体" w:eastAsia="仿宋_GB2312"/>
          <w:sz w:val="32"/>
          <w:szCs w:val="32"/>
        </w:rPr>
        <w:t>。</w:t>
      </w:r>
    </w:p>
    <w:p>
      <w:pPr>
        <w:spacing w:line="640" w:lineRule="exact"/>
        <w:ind w:firstLine="640" w:firstLineChars="200"/>
        <w:rPr>
          <w:rFonts w:ascii="仿宋_GB2312" w:hAnsi="黑体" w:eastAsia="仿宋_GB2312"/>
          <w:sz w:val="32"/>
          <w:szCs w:val="32"/>
        </w:rPr>
      </w:pPr>
      <w:r>
        <w:rPr>
          <w:rFonts w:hint="eastAsia" w:ascii="仿宋_GB2312" w:hAnsi="黑体" w:eastAsia="仿宋_GB2312"/>
          <w:color w:val="FF0000"/>
          <w:sz w:val="32"/>
          <w:szCs w:val="32"/>
        </w:rPr>
        <w:t xml:space="preserve"> </w:t>
      </w:r>
      <w:r>
        <w:rPr>
          <w:rFonts w:hint="eastAsia" w:ascii="楷体_GB2312" w:hAnsi="黑体" w:eastAsia="楷体_GB2312"/>
          <w:b/>
          <w:sz w:val="32"/>
          <w:szCs w:val="32"/>
        </w:rPr>
        <w:t>(五) 培训费</w:t>
      </w:r>
      <w:r>
        <w:rPr>
          <w:rFonts w:hint="eastAsia" w:ascii="楷体_GB2312" w:hAnsi="黑体" w:eastAsia="楷体_GB2312"/>
          <w:b/>
          <w:sz w:val="32"/>
          <w:szCs w:val="32"/>
          <w:lang w:val="en-US" w:eastAsia="zh-CN"/>
        </w:rPr>
        <w:t>0</w:t>
      </w:r>
      <w:r>
        <w:rPr>
          <w:rFonts w:hint="eastAsia" w:ascii="仿宋_GB2312" w:hAnsi="黑体" w:eastAsia="仿宋_GB2312"/>
          <w:sz w:val="32"/>
          <w:szCs w:val="32"/>
        </w:rPr>
        <w:t>元，比上年预算数</w:t>
      </w:r>
      <w:r>
        <w:rPr>
          <w:rFonts w:hint="eastAsia" w:ascii="仿宋_GB2312" w:hAnsi="黑体" w:eastAsia="仿宋_GB2312"/>
          <w:sz w:val="32"/>
          <w:szCs w:val="32"/>
          <w:lang w:eastAsia="zh-CN"/>
        </w:rPr>
        <w:t>无变化</w:t>
      </w:r>
      <w:r>
        <w:rPr>
          <w:rFonts w:hint="eastAsia" w:ascii="仿宋_GB2312" w:hAnsi="黑体" w:eastAsia="仿宋_GB2312"/>
          <w:sz w:val="32"/>
          <w:szCs w:val="32"/>
        </w:rPr>
        <w:t>，主要原因是</w:t>
      </w:r>
      <w:r>
        <w:rPr>
          <w:rFonts w:hint="eastAsia" w:ascii="仿宋_GB2312" w:hAnsi="黑体" w:eastAsia="仿宋_GB2312"/>
          <w:sz w:val="32"/>
          <w:szCs w:val="32"/>
          <w:lang w:val="en-US" w:eastAsia="zh-CN"/>
        </w:rPr>
        <w:t>无预算</w:t>
      </w:r>
      <w:r>
        <w:rPr>
          <w:rFonts w:hint="eastAsia" w:ascii="仿宋_GB2312" w:hAnsi="黑体" w:eastAsia="仿宋_GB2312"/>
          <w:sz w:val="32"/>
          <w:szCs w:val="32"/>
        </w:rPr>
        <w:t>。</w:t>
      </w:r>
    </w:p>
    <w:p>
      <w:pPr>
        <w:spacing w:line="640" w:lineRule="exact"/>
        <w:ind w:firstLine="640" w:firstLineChars="200"/>
        <w:rPr>
          <w:rFonts w:ascii="黑体" w:hAnsi="黑体" w:eastAsia="黑体"/>
          <w:sz w:val="32"/>
          <w:szCs w:val="32"/>
        </w:rPr>
      </w:pPr>
      <w:r>
        <w:rPr>
          <w:rFonts w:hint="eastAsia" w:ascii="黑体" w:hAnsi="黑体" w:eastAsia="黑体"/>
          <w:sz w:val="32"/>
          <w:szCs w:val="32"/>
        </w:rPr>
        <w:t>五、部门机关运行经费及政府采购预算情况说明</w:t>
      </w:r>
    </w:p>
    <w:p>
      <w:pPr>
        <w:spacing w:line="640" w:lineRule="exact"/>
        <w:ind w:firstLine="640" w:firstLineChars="200"/>
        <w:rPr>
          <w:rFonts w:ascii="仿宋_GB2312" w:hAnsi="黑体" w:eastAsia="仿宋_GB2312"/>
          <w:sz w:val="32"/>
          <w:szCs w:val="32"/>
        </w:rPr>
      </w:pPr>
      <w:r>
        <w:rPr>
          <w:rFonts w:hint="eastAsia" w:ascii="仿宋_GB2312" w:hAnsi="黑体" w:eastAsia="仿宋_GB2312"/>
          <w:sz w:val="32"/>
          <w:szCs w:val="32"/>
        </w:rPr>
        <w:t>2022年机关运行经费预算</w:t>
      </w:r>
      <w:r>
        <w:rPr>
          <w:rFonts w:hint="eastAsia" w:ascii="仿宋_GB2312" w:hAnsi="黑体" w:eastAsia="仿宋_GB2312"/>
          <w:sz w:val="32"/>
          <w:szCs w:val="32"/>
          <w:lang w:val="en-US" w:eastAsia="zh-CN"/>
        </w:rPr>
        <w:t>80000</w:t>
      </w:r>
      <w:r>
        <w:rPr>
          <w:rFonts w:hint="eastAsia" w:ascii="仿宋_GB2312" w:hAnsi="黑体" w:eastAsia="仿宋_GB2312"/>
          <w:sz w:val="32"/>
          <w:szCs w:val="32"/>
        </w:rPr>
        <w:t>元，</w:t>
      </w:r>
      <w:r>
        <w:rPr>
          <w:rFonts w:hint="eastAsia" w:ascii="仿宋_GB2312" w:hAnsi="黑体" w:eastAsia="仿宋_GB2312"/>
          <w:sz w:val="32"/>
          <w:szCs w:val="32"/>
          <w:lang w:eastAsia="zh-CN"/>
        </w:rPr>
        <w:t>较</w:t>
      </w:r>
      <w:r>
        <w:rPr>
          <w:rFonts w:hint="eastAsia" w:ascii="仿宋_GB2312" w:hAnsi="黑体" w:eastAsia="仿宋_GB2312"/>
          <w:sz w:val="32"/>
          <w:szCs w:val="32"/>
        </w:rPr>
        <w:t>上年预算数</w:t>
      </w:r>
      <w:r>
        <w:rPr>
          <w:rFonts w:hint="eastAsia" w:ascii="仿宋_GB2312" w:hAnsi="黑体" w:eastAsia="仿宋_GB2312"/>
          <w:sz w:val="32"/>
          <w:szCs w:val="32"/>
          <w:lang w:eastAsia="zh-CN"/>
        </w:rPr>
        <w:t>无变化</w:t>
      </w:r>
      <w:r>
        <w:rPr>
          <w:rFonts w:hint="eastAsia" w:ascii="仿宋_GB2312" w:hAnsi="黑体" w:eastAsia="仿宋_GB2312"/>
          <w:sz w:val="32"/>
          <w:szCs w:val="32"/>
        </w:rPr>
        <w:t>。政府采购预算</w:t>
      </w:r>
      <w:r>
        <w:rPr>
          <w:rFonts w:hint="eastAsia" w:ascii="仿宋_GB2312" w:hAnsi="黑体" w:eastAsia="仿宋_GB2312"/>
          <w:sz w:val="32"/>
          <w:szCs w:val="32"/>
          <w:lang w:val="en-US" w:eastAsia="zh-CN"/>
        </w:rPr>
        <w:t>6600</w:t>
      </w:r>
      <w:r>
        <w:rPr>
          <w:rFonts w:hint="eastAsia" w:ascii="仿宋_GB2312" w:hAnsi="黑体" w:eastAsia="仿宋_GB2312"/>
          <w:sz w:val="32"/>
          <w:szCs w:val="32"/>
        </w:rPr>
        <w:t>元，比上年预算数</w:t>
      </w:r>
      <w:r>
        <w:rPr>
          <w:rFonts w:hint="eastAsia" w:ascii="仿宋_GB2312" w:hAnsi="黑体" w:eastAsia="仿宋_GB2312"/>
          <w:sz w:val="32"/>
          <w:szCs w:val="32"/>
          <w:lang w:val="en-US" w:eastAsia="zh-CN"/>
        </w:rPr>
        <w:t>减少23400</w:t>
      </w:r>
      <w:r>
        <w:rPr>
          <w:rFonts w:hint="eastAsia" w:ascii="仿宋_GB2312" w:hAnsi="黑体" w:eastAsia="仿宋_GB2312"/>
          <w:sz w:val="32"/>
          <w:szCs w:val="32"/>
        </w:rPr>
        <w:t>元，</w:t>
      </w:r>
      <w:r>
        <w:rPr>
          <w:rFonts w:hint="eastAsia" w:ascii="仿宋_GB2312" w:hAnsi="黑体" w:eastAsia="仿宋_GB2312"/>
          <w:sz w:val="32"/>
          <w:szCs w:val="32"/>
          <w:lang w:val="en-US" w:eastAsia="zh-CN"/>
        </w:rPr>
        <w:t>减少78</w:t>
      </w:r>
      <w:r>
        <w:rPr>
          <w:rFonts w:hint="eastAsia" w:ascii="仿宋_GB2312" w:hAnsi="黑体" w:eastAsia="仿宋_GB2312"/>
          <w:sz w:val="32"/>
          <w:szCs w:val="32"/>
        </w:rPr>
        <w:t>%，主要是：</w:t>
      </w:r>
      <w:r>
        <w:rPr>
          <w:rFonts w:hint="eastAsia" w:ascii="仿宋_GB2312" w:hAnsi="黑体" w:eastAsia="仿宋_GB2312"/>
          <w:sz w:val="32"/>
          <w:szCs w:val="32"/>
          <w:lang w:val="en-US" w:eastAsia="zh-CN"/>
        </w:rPr>
        <w:t>办公设备采购减少</w:t>
      </w:r>
      <w:r>
        <w:rPr>
          <w:rFonts w:hint="eastAsia" w:ascii="仿宋_GB2312" w:hAnsi="黑体" w:eastAsia="仿宋_GB2312"/>
          <w:sz w:val="32"/>
          <w:szCs w:val="32"/>
        </w:rPr>
        <w:t>，其中：政府采购货物预算</w:t>
      </w:r>
      <w:r>
        <w:rPr>
          <w:rFonts w:hint="eastAsia" w:ascii="仿宋_GB2312" w:hAnsi="黑体" w:eastAsia="仿宋_GB2312"/>
          <w:sz w:val="32"/>
          <w:szCs w:val="32"/>
          <w:lang w:val="en-US" w:eastAsia="zh-CN"/>
        </w:rPr>
        <w:t>6600</w:t>
      </w:r>
      <w:r>
        <w:rPr>
          <w:rFonts w:hint="eastAsia" w:ascii="仿宋_GB2312" w:hAnsi="黑体" w:eastAsia="仿宋_GB2312"/>
          <w:sz w:val="32"/>
          <w:szCs w:val="32"/>
        </w:rPr>
        <w:t>元，政府采购工程预算</w:t>
      </w:r>
      <w:r>
        <w:rPr>
          <w:rFonts w:hint="eastAsia" w:ascii="仿宋_GB2312" w:hAnsi="黑体" w:eastAsia="仿宋_GB2312"/>
          <w:sz w:val="32"/>
          <w:szCs w:val="32"/>
          <w:lang w:val="en-US" w:eastAsia="zh-CN"/>
        </w:rPr>
        <w:t>0</w:t>
      </w:r>
      <w:r>
        <w:rPr>
          <w:rFonts w:hint="eastAsia" w:ascii="仿宋_GB2312" w:hAnsi="黑体" w:eastAsia="仿宋_GB2312"/>
          <w:sz w:val="32"/>
          <w:szCs w:val="32"/>
        </w:rPr>
        <w:t>元，政府采购服务预算</w:t>
      </w:r>
      <w:r>
        <w:rPr>
          <w:rFonts w:hint="eastAsia" w:ascii="仿宋_GB2312" w:hAnsi="黑体" w:eastAsia="仿宋_GB2312"/>
          <w:sz w:val="32"/>
          <w:szCs w:val="32"/>
          <w:lang w:val="en-US" w:eastAsia="zh-CN"/>
        </w:rPr>
        <w:t>0</w:t>
      </w:r>
      <w:r>
        <w:rPr>
          <w:rFonts w:hint="eastAsia" w:ascii="仿宋_GB2312" w:hAnsi="黑体" w:eastAsia="仿宋_GB2312"/>
          <w:sz w:val="32"/>
          <w:szCs w:val="32"/>
        </w:rPr>
        <w:t>元。</w:t>
      </w:r>
    </w:p>
    <w:p>
      <w:pPr>
        <w:spacing w:line="640" w:lineRule="exact"/>
        <w:jc w:val="both"/>
        <w:rPr>
          <w:rFonts w:ascii="仿宋_GB2312" w:hAnsi="黑体" w:eastAsia="仿宋_GB2312"/>
          <w:b/>
          <w:sz w:val="44"/>
          <w:szCs w:val="44"/>
        </w:rPr>
      </w:pPr>
      <w:bookmarkStart w:id="0" w:name="_GoBack"/>
      <w:bookmarkEnd w:id="0"/>
    </w:p>
    <w:p>
      <w:pPr>
        <w:spacing w:line="840" w:lineRule="exact"/>
        <w:jc w:val="center"/>
        <w:rPr>
          <w:rFonts w:ascii="仿宋_GB2312" w:hAnsi="黑体" w:eastAsia="仿宋_GB2312"/>
          <w:sz w:val="32"/>
          <w:szCs w:val="32"/>
        </w:rPr>
      </w:pPr>
      <w:r>
        <w:rPr>
          <w:rFonts w:hint="eastAsia" w:ascii="仿宋_GB2312" w:hAnsi="黑体" w:eastAsia="仿宋_GB2312"/>
          <w:b/>
          <w:sz w:val="52"/>
          <w:szCs w:val="52"/>
        </w:rPr>
        <w:t>第四部分  名词解释</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（一）财政拨款收入：</w:t>
      </w:r>
      <w:r>
        <w:rPr>
          <w:rFonts w:ascii="仿宋_GB2312" w:hAnsi="黑体" w:eastAsia="仿宋_GB2312"/>
          <w:sz w:val="32"/>
          <w:szCs w:val="32"/>
        </w:rPr>
        <w:t>指由</w:t>
      </w:r>
      <w:r>
        <w:rPr>
          <w:rFonts w:hint="eastAsia" w:ascii="仿宋_GB2312" w:hAnsi="黑体" w:eastAsia="仿宋_GB2312"/>
          <w:sz w:val="32"/>
          <w:szCs w:val="32"/>
        </w:rPr>
        <w:t>县级</w:t>
      </w:r>
      <w:r>
        <w:rPr>
          <w:rFonts w:ascii="仿宋_GB2312" w:hAnsi="黑体" w:eastAsia="仿宋_GB2312"/>
          <w:sz w:val="32"/>
          <w:szCs w:val="32"/>
        </w:rPr>
        <w:t>财政拨款形成的部门收入。按照现行预算管理制度，</w:t>
      </w:r>
      <w:r>
        <w:rPr>
          <w:rFonts w:hint="eastAsia" w:ascii="仿宋_GB2312" w:hAnsi="黑体" w:eastAsia="仿宋_GB2312"/>
          <w:sz w:val="32"/>
          <w:szCs w:val="32"/>
        </w:rPr>
        <w:t>县级</w:t>
      </w:r>
      <w:r>
        <w:rPr>
          <w:rFonts w:ascii="仿宋_GB2312" w:hAnsi="黑体" w:eastAsia="仿宋_GB2312"/>
          <w:sz w:val="32"/>
          <w:szCs w:val="32"/>
        </w:rPr>
        <w:t>部门预算中反映的财政拨款包括一般公共预算财政拨款和政府性基金预算财政拨款。</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（二）上年结转：</w:t>
      </w:r>
      <w:r>
        <w:rPr>
          <w:rFonts w:ascii="仿宋_GB2312" w:hAnsi="黑体" w:eastAsia="仿宋_GB2312"/>
          <w:sz w:val="32"/>
          <w:szCs w:val="32"/>
        </w:rPr>
        <w:t>指部门和单位以前年度尚未完成，结转到本年度按有关规定继续使用的资金。</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（三）基本支出：</w:t>
      </w:r>
      <w:r>
        <w:rPr>
          <w:rFonts w:ascii="仿宋_GB2312" w:hAnsi="黑体" w:eastAsia="仿宋_GB2312"/>
          <w:sz w:val="32"/>
          <w:szCs w:val="32"/>
        </w:rPr>
        <w:t>指为保障机构正常运转、完成日常工作任务而发生的人员支出和公用支出。</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（四）项目支出：</w:t>
      </w:r>
      <w:r>
        <w:rPr>
          <w:rFonts w:ascii="仿宋_GB2312" w:hAnsi="黑体" w:eastAsia="仿宋_GB2312"/>
          <w:sz w:val="32"/>
          <w:szCs w:val="32"/>
        </w:rPr>
        <w:t>指在基本支出之外为完成特定行政任务和事业发展目标所发生的支出。</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（五）三公经费：</w:t>
      </w:r>
      <w:r>
        <w:rPr>
          <w:rFonts w:ascii="仿宋_GB2312" w:hAnsi="黑体" w:eastAsia="仿宋_GB2312"/>
          <w:sz w:val="32"/>
          <w:szCs w:val="32"/>
        </w:rPr>
        <w:t>是指</w:t>
      </w:r>
      <w:r>
        <w:rPr>
          <w:rFonts w:hint="eastAsia" w:ascii="仿宋_GB2312" w:hAnsi="黑体" w:eastAsia="仿宋_GB2312"/>
          <w:sz w:val="32"/>
          <w:szCs w:val="32"/>
        </w:rPr>
        <w:t>县级</w:t>
      </w:r>
      <w:r>
        <w:rPr>
          <w:rFonts w:ascii="仿宋_GB2312" w:hAnsi="黑体" w:eastAsia="仿宋_GB2312"/>
          <w:sz w:val="32"/>
          <w:szCs w:val="32"/>
        </w:rPr>
        <w:t>部门用财政拨款安排的因公出国（境）费，公务接待费</w:t>
      </w:r>
      <w:r>
        <w:rPr>
          <w:rFonts w:hint="eastAsia" w:ascii="仿宋_GB2312" w:hAnsi="黑体" w:eastAsia="仿宋_GB2312"/>
          <w:sz w:val="32"/>
          <w:szCs w:val="32"/>
        </w:rPr>
        <w:t>，</w:t>
      </w:r>
      <w:r>
        <w:rPr>
          <w:rFonts w:ascii="仿宋_GB2312" w:hAnsi="黑体" w:eastAsia="仿宋_GB2312"/>
          <w:sz w:val="32"/>
          <w:szCs w:val="32"/>
        </w:rPr>
        <w:t>公务用车购置及运行费。</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（六）机关运行经费：</w:t>
      </w:r>
      <w:r>
        <w:rPr>
          <w:rFonts w:ascii="仿宋_GB2312" w:hAnsi="黑体" w:eastAsia="仿宋_GB2312"/>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rPr>
          <w:rFonts w:ascii="仿宋_GB2312" w:hAnsi="黑体" w:eastAsia="仿宋_GB2312"/>
          <w:sz w:val="32"/>
          <w:szCs w:val="32"/>
        </w:rPr>
      </w:pPr>
    </w:p>
    <w:p>
      <w:pPr>
        <w:ind w:firstLine="643" w:firstLineChars="200"/>
        <w:jc w:val="center"/>
        <w:rPr>
          <w:rFonts w:ascii="仿宋_GB2312" w:hAnsi="黑体" w:eastAsia="仿宋_GB2312"/>
          <w:b/>
          <w:bCs/>
          <w:sz w:val="32"/>
          <w:szCs w:val="32"/>
        </w:rPr>
      </w:pPr>
      <w:r>
        <w:rPr>
          <w:rFonts w:hint="eastAsia" w:ascii="仿宋_GB2312" w:hAnsi="黑体" w:eastAsia="仿宋_GB2312"/>
          <w:b/>
          <w:bCs/>
          <w:sz w:val="32"/>
          <w:szCs w:val="32"/>
        </w:rPr>
        <w:t>填表说明</w:t>
      </w:r>
    </w:p>
    <w:p>
      <w:pPr>
        <w:ind w:firstLine="640" w:firstLineChars="200"/>
        <w:rPr>
          <w:rFonts w:ascii="仿宋_GB2312" w:hAnsi="黑体" w:eastAsia="仿宋_GB2312"/>
          <w:sz w:val="32"/>
          <w:szCs w:val="32"/>
        </w:rPr>
      </w:pPr>
      <w:r>
        <w:rPr>
          <w:rFonts w:hint="eastAsia" w:ascii="仿宋_GB2312" w:hAnsi="黑体" w:eastAsia="仿宋_GB2312"/>
          <w:sz w:val="32"/>
          <w:szCs w:val="32"/>
        </w:rPr>
        <w:t>1.本参照表样是严格按照财政部和省财政厅部门预算公开的要求设计的，已经删减了一些比较复杂的内容，能简化的已经尽可能简化，各部门必须严格按本表样公开。</w:t>
      </w:r>
    </w:p>
    <w:p>
      <w:pPr>
        <w:ind w:firstLine="640" w:firstLineChars="200"/>
        <w:rPr>
          <w:rFonts w:ascii="仿宋_GB2312" w:hAnsi="黑体" w:eastAsia="仿宋_GB2312"/>
          <w:sz w:val="32"/>
          <w:szCs w:val="32"/>
        </w:rPr>
      </w:pPr>
      <w:r>
        <w:rPr>
          <w:rFonts w:hint="eastAsia" w:ascii="仿宋_GB2312" w:hAnsi="黑体" w:eastAsia="仿宋_GB2312"/>
          <w:sz w:val="32"/>
          <w:szCs w:val="32"/>
        </w:rPr>
        <w:t>2.使用部门预算公开参照表样，说明中填列的当年预算数，必须与公开表格数据一致，使用上年预算数计算增减额和增减百分比，必须准确无误，使用上年预算数必须与上年公开数据一致，避免因数据不一致带来不必要的问题。</w:t>
      </w:r>
    </w:p>
    <w:p>
      <w:pPr>
        <w:ind w:firstLine="640"/>
        <w:rPr>
          <w:rFonts w:ascii="仿宋_GB2312" w:hAnsi="黑体" w:eastAsia="仿宋_GB2312"/>
          <w:sz w:val="32"/>
          <w:szCs w:val="32"/>
        </w:rPr>
      </w:pPr>
      <w:r>
        <w:rPr>
          <w:rFonts w:hint="eastAsia" w:ascii="仿宋_GB2312" w:hAnsi="黑体" w:eastAsia="仿宋_GB2312"/>
          <w:sz w:val="32"/>
          <w:szCs w:val="32"/>
        </w:rPr>
        <w:t>3.参照表样中标红的内容以及本页内容，是对部门在编写公开说明时的一些提示，说明完成后，标红内容全部删除。</w:t>
      </w:r>
    </w:p>
    <w:p>
      <w:pPr>
        <w:ind w:firstLine="640"/>
        <w:rPr>
          <w:rFonts w:ascii="仿宋_GB2312" w:hAnsi="黑体" w:eastAsia="仿宋_GB2312"/>
          <w:sz w:val="32"/>
          <w:szCs w:val="32"/>
        </w:rPr>
      </w:pPr>
      <w:r>
        <w:rPr>
          <w:rFonts w:hint="eastAsia" w:ascii="仿宋_GB2312" w:hAnsi="黑体" w:eastAsia="仿宋_GB2312"/>
          <w:sz w:val="32"/>
          <w:szCs w:val="32"/>
        </w:rPr>
        <w:t>4.各业务股室在审核各部门上报的部门预算公开资料中，必须注意：预算公开表格是否齐全（空表也必须公开并说明无此项支出）、数据是否准确，表格中是否有**等容易引起歧义的字符（去年省财政厅检查组对此已提出异议）；公开说明是否规范齐全，是否按类款项详细说明，是否存在省略号、不必要的括号、提示的红字等未删除的东西。</w:t>
      </w:r>
    </w:p>
    <w:sectPr>
      <w:pgSz w:w="16838" w:h="11906" w:orient="landscape"/>
      <w:pgMar w:top="1797" w:right="1440" w:bottom="1797"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A608F5"/>
    <w:multiLevelType w:val="multilevel"/>
    <w:tmpl w:val="51A608F5"/>
    <w:lvl w:ilvl="0" w:tentative="0">
      <w:start w:val="1"/>
      <w:numFmt w:val="japaneseCounting"/>
      <w:lvlText w:val="%1、"/>
      <w:lvlJc w:val="left"/>
      <w:pPr>
        <w:tabs>
          <w:tab w:val="left" w:pos="1360"/>
        </w:tabs>
        <w:ind w:left="1360" w:hanging="720"/>
      </w:pPr>
      <w:rPr>
        <w:rFonts w:hint="default"/>
      </w:rPr>
    </w:lvl>
    <w:lvl w:ilvl="1" w:tentative="0">
      <w:start w:val="1"/>
      <w:numFmt w:val="lowerLetter"/>
      <w:lvlText w:val="%2)"/>
      <w:lvlJc w:val="left"/>
      <w:pPr>
        <w:tabs>
          <w:tab w:val="left" w:pos="1480"/>
        </w:tabs>
        <w:ind w:left="1480" w:hanging="420"/>
      </w:pPr>
    </w:lvl>
    <w:lvl w:ilvl="2" w:tentative="0">
      <w:start w:val="1"/>
      <w:numFmt w:val="lowerRoman"/>
      <w:lvlText w:val="%3."/>
      <w:lvlJc w:val="right"/>
      <w:pPr>
        <w:tabs>
          <w:tab w:val="left" w:pos="1900"/>
        </w:tabs>
        <w:ind w:left="1900" w:hanging="420"/>
      </w:pPr>
    </w:lvl>
    <w:lvl w:ilvl="3" w:tentative="0">
      <w:start w:val="1"/>
      <w:numFmt w:val="decimal"/>
      <w:lvlText w:val="%4."/>
      <w:lvlJc w:val="left"/>
      <w:pPr>
        <w:tabs>
          <w:tab w:val="left" w:pos="2320"/>
        </w:tabs>
        <w:ind w:left="2320" w:hanging="420"/>
      </w:pPr>
    </w:lvl>
    <w:lvl w:ilvl="4" w:tentative="0">
      <w:start w:val="1"/>
      <w:numFmt w:val="lowerLetter"/>
      <w:lvlText w:val="%5)"/>
      <w:lvlJc w:val="left"/>
      <w:pPr>
        <w:tabs>
          <w:tab w:val="left" w:pos="2740"/>
        </w:tabs>
        <w:ind w:left="2740" w:hanging="420"/>
      </w:pPr>
    </w:lvl>
    <w:lvl w:ilvl="5" w:tentative="0">
      <w:start w:val="1"/>
      <w:numFmt w:val="lowerRoman"/>
      <w:lvlText w:val="%6."/>
      <w:lvlJc w:val="right"/>
      <w:pPr>
        <w:tabs>
          <w:tab w:val="left" w:pos="3160"/>
        </w:tabs>
        <w:ind w:left="3160" w:hanging="420"/>
      </w:pPr>
    </w:lvl>
    <w:lvl w:ilvl="6" w:tentative="0">
      <w:start w:val="1"/>
      <w:numFmt w:val="decimal"/>
      <w:lvlText w:val="%7."/>
      <w:lvlJc w:val="left"/>
      <w:pPr>
        <w:tabs>
          <w:tab w:val="left" w:pos="3580"/>
        </w:tabs>
        <w:ind w:left="3580" w:hanging="420"/>
      </w:pPr>
    </w:lvl>
    <w:lvl w:ilvl="7" w:tentative="0">
      <w:start w:val="1"/>
      <w:numFmt w:val="lowerLetter"/>
      <w:lvlText w:val="%8)"/>
      <w:lvlJc w:val="left"/>
      <w:pPr>
        <w:tabs>
          <w:tab w:val="left" w:pos="4000"/>
        </w:tabs>
        <w:ind w:left="4000" w:hanging="420"/>
      </w:pPr>
    </w:lvl>
    <w:lvl w:ilvl="8" w:tentative="0">
      <w:start w:val="1"/>
      <w:numFmt w:val="lowerRoman"/>
      <w:lvlText w:val="%9."/>
      <w:lvlJc w:val="right"/>
      <w:pPr>
        <w:tabs>
          <w:tab w:val="left" w:pos="4420"/>
        </w:tabs>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Y1NGExMGRlMWM4NGIwMTQzNGE1ZGI4ODJhNzljMzgifQ=="/>
  </w:docVars>
  <w:rsids>
    <w:rsidRoot w:val="005B7BC1"/>
    <w:rsid w:val="0003745A"/>
    <w:rsid w:val="00040BCD"/>
    <w:rsid w:val="000635F4"/>
    <w:rsid w:val="0007134C"/>
    <w:rsid w:val="0008140C"/>
    <w:rsid w:val="000D6DF6"/>
    <w:rsid w:val="00177759"/>
    <w:rsid w:val="001B1C65"/>
    <w:rsid w:val="001C1A02"/>
    <w:rsid w:val="001E4A08"/>
    <w:rsid w:val="00214A31"/>
    <w:rsid w:val="00242CF2"/>
    <w:rsid w:val="002E18D8"/>
    <w:rsid w:val="002F60F3"/>
    <w:rsid w:val="00311351"/>
    <w:rsid w:val="0032725E"/>
    <w:rsid w:val="00394CB3"/>
    <w:rsid w:val="003C6C02"/>
    <w:rsid w:val="003F4675"/>
    <w:rsid w:val="004065F3"/>
    <w:rsid w:val="00426E7F"/>
    <w:rsid w:val="004D7269"/>
    <w:rsid w:val="0054600D"/>
    <w:rsid w:val="0055484E"/>
    <w:rsid w:val="005A73EE"/>
    <w:rsid w:val="005B7BC1"/>
    <w:rsid w:val="005D203F"/>
    <w:rsid w:val="005E54B6"/>
    <w:rsid w:val="005F2AE1"/>
    <w:rsid w:val="005F5BDC"/>
    <w:rsid w:val="00646AEB"/>
    <w:rsid w:val="00666618"/>
    <w:rsid w:val="006735BA"/>
    <w:rsid w:val="006956AB"/>
    <w:rsid w:val="006A6616"/>
    <w:rsid w:val="006D45CE"/>
    <w:rsid w:val="006E0D73"/>
    <w:rsid w:val="00721BBD"/>
    <w:rsid w:val="007926A3"/>
    <w:rsid w:val="007A4BFC"/>
    <w:rsid w:val="007D20F6"/>
    <w:rsid w:val="00805E3C"/>
    <w:rsid w:val="0081299C"/>
    <w:rsid w:val="0086585A"/>
    <w:rsid w:val="008A308B"/>
    <w:rsid w:val="009A1F81"/>
    <w:rsid w:val="009F1F5C"/>
    <w:rsid w:val="00A039E4"/>
    <w:rsid w:val="00A55333"/>
    <w:rsid w:val="00AE2AA5"/>
    <w:rsid w:val="00B37D63"/>
    <w:rsid w:val="00B67550"/>
    <w:rsid w:val="00B7120D"/>
    <w:rsid w:val="00B97330"/>
    <w:rsid w:val="00BD2423"/>
    <w:rsid w:val="00C469FC"/>
    <w:rsid w:val="00CA41AB"/>
    <w:rsid w:val="00CB5559"/>
    <w:rsid w:val="00CC2B7C"/>
    <w:rsid w:val="00CF06A6"/>
    <w:rsid w:val="00DE66F0"/>
    <w:rsid w:val="00E0384C"/>
    <w:rsid w:val="00E075CD"/>
    <w:rsid w:val="00E265F4"/>
    <w:rsid w:val="00E46B0B"/>
    <w:rsid w:val="00E760B0"/>
    <w:rsid w:val="00E920D8"/>
    <w:rsid w:val="00E94B79"/>
    <w:rsid w:val="00EA085C"/>
    <w:rsid w:val="00F00669"/>
    <w:rsid w:val="00F3279B"/>
    <w:rsid w:val="00F42002"/>
    <w:rsid w:val="00F67610"/>
    <w:rsid w:val="00F9776C"/>
    <w:rsid w:val="047D2F82"/>
    <w:rsid w:val="060021DC"/>
    <w:rsid w:val="064D410C"/>
    <w:rsid w:val="06746E88"/>
    <w:rsid w:val="06BE6228"/>
    <w:rsid w:val="07EA6CFD"/>
    <w:rsid w:val="0A116753"/>
    <w:rsid w:val="0B896034"/>
    <w:rsid w:val="0D824E94"/>
    <w:rsid w:val="0E6F37D9"/>
    <w:rsid w:val="112936A0"/>
    <w:rsid w:val="1250416D"/>
    <w:rsid w:val="13B82E0D"/>
    <w:rsid w:val="141D039C"/>
    <w:rsid w:val="16040ED0"/>
    <w:rsid w:val="17432B85"/>
    <w:rsid w:val="1909264A"/>
    <w:rsid w:val="198119BE"/>
    <w:rsid w:val="1B78482C"/>
    <w:rsid w:val="1C6D1D31"/>
    <w:rsid w:val="1CED1F3C"/>
    <w:rsid w:val="1D654F62"/>
    <w:rsid w:val="204B1966"/>
    <w:rsid w:val="205A7194"/>
    <w:rsid w:val="210F4887"/>
    <w:rsid w:val="22273516"/>
    <w:rsid w:val="2233056C"/>
    <w:rsid w:val="23513756"/>
    <w:rsid w:val="250F1490"/>
    <w:rsid w:val="292A0545"/>
    <w:rsid w:val="2B26350E"/>
    <w:rsid w:val="2B5C1C56"/>
    <w:rsid w:val="2BCF3D4E"/>
    <w:rsid w:val="2D550DF7"/>
    <w:rsid w:val="2DBA0562"/>
    <w:rsid w:val="31352995"/>
    <w:rsid w:val="32A96D1A"/>
    <w:rsid w:val="34032DB0"/>
    <w:rsid w:val="34B82D6F"/>
    <w:rsid w:val="373703E1"/>
    <w:rsid w:val="37580FE7"/>
    <w:rsid w:val="38CC1D4A"/>
    <w:rsid w:val="396616D2"/>
    <w:rsid w:val="39A71DAE"/>
    <w:rsid w:val="3BCA6724"/>
    <w:rsid w:val="3D8C4411"/>
    <w:rsid w:val="40465DD0"/>
    <w:rsid w:val="40CC1D5D"/>
    <w:rsid w:val="416268DB"/>
    <w:rsid w:val="452F6292"/>
    <w:rsid w:val="47AF499B"/>
    <w:rsid w:val="484D612A"/>
    <w:rsid w:val="48A9072C"/>
    <w:rsid w:val="4D903B41"/>
    <w:rsid w:val="4DA8126D"/>
    <w:rsid w:val="4DD72226"/>
    <w:rsid w:val="4EA300AE"/>
    <w:rsid w:val="50622DD8"/>
    <w:rsid w:val="51C77E42"/>
    <w:rsid w:val="51E4512D"/>
    <w:rsid w:val="54B1376D"/>
    <w:rsid w:val="56311F34"/>
    <w:rsid w:val="564548F7"/>
    <w:rsid w:val="565305B1"/>
    <w:rsid w:val="56C73340"/>
    <w:rsid w:val="57E207EA"/>
    <w:rsid w:val="59441D15"/>
    <w:rsid w:val="5A3206F2"/>
    <w:rsid w:val="615E6A5E"/>
    <w:rsid w:val="61EF1B1B"/>
    <w:rsid w:val="621A3658"/>
    <w:rsid w:val="62B62979"/>
    <w:rsid w:val="63BA7771"/>
    <w:rsid w:val="64252B6E"/>
    <w:rsid w:val="651520BC"/>
    <w:rsid w:val="661A6258"/>
    <w:rsid w:val="66E33D94"/>
    <w:rsid w:val="6A136FDE"/>
    <w:rsid w:val="6A752B54"/>
    <w:rsid w:val="6EA6456E"/>
    <w:rsid w:val="6EBC279F"/>
    <w:rsid w:val="74517818"/>
    <w:rsid w:val="75840CDB"/>
    <w:rsid w:val="75FA50B5"/>
    <w:rsid w:val="77781E83"/>
    <w:rsid w:val="78062181"/>
    <w:rsid w:val="794965D5"/>
    <w:rsid w:val="79D61FC6"/>
    <w:rsid w:val="7CF82ADB"/>
    <w:rsid w:val="7EA70982"/>
    <w:rsid w:val="7F2E2508"/>
    <w:rsid w:val="7F4673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qFormat/>
    <w:uiPriority w:val="0"/>
    <w:pPr>
      <w:ind w:left="100" w:leftChars="2500"/>
    </w:p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8">
    <w:name w:val="Hyperlink"/>
    <w:qFormat/>
    <w:uiPriority w:val="0"/>
    <w:rPr>
      <w:color w:val="0000FF"/>
      <w:u w:val="single"/>
    </w:rPr>
  </w:style>
  <w:style w:type="character" w:customStyle="1" w:styleId="10">
    <w:name w:val="页眉 Char"/>
    <w:link w:val="4"/>
    <w:qFormat/>
    <w:uiPriority w:val="0"/>
    <w:rPr>
      <w:kern w:val="2"/>
      <w:sz w:val="18"/>
      <w:szCs w:val="18"/>
    </w:rPr>
  </w:style>
  <w:style w:type="character" w:customStyle="1" w:styleId="11">
    <w:name w:val="页脚 Char"/>
    <w:link w:val="3"/>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34</Pages>
  <Words>6728</Words>
  <Characters>9537</Characters>
  <Lines>16</Lines>
  <Paragraphs>4</Paragraphs>
  <TotalTime>2</TotalTime>
  <ScaleCrop>false</ScaleCrop>
  <LinksUpToDate>false</LinksUpToDate>
  <CharactersWithSpaces>9591</CharactersWithSpaces>
  <Application>WPS Office_11.1.0.8013_F1E327BC-269C-435d-A152-05C5408002CA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2017-03-15T03:43:00Z</dcterms:created>
  <dc:creator>Windows 用户</dc:creator>
  <cp:lastModifiedBy>Administrator</cp:lastModifiedBy>
  <cp:lastPrinted>2022-04-13T10:13:00Z</cp:lastPrinted>
  <dcterms:modified xsi:type="dcterms:W3CDTF">2009-12-31T17:06:00Z</dcterms:modified>
  <dc:title>临夏回族自治州**局部门预算（此处请用单位全称，居中）</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y fmtid="{D5CDD505-2E9C-101B-9397-08002B2CF9AE}" pid="3" name="ICV">
    <vt:lpwstr>1BF4CF9B731147A4AFC601026E0E81DD</vt:lpwstr>
  </property>
</Properties>
</file>