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eastAsia="zh-CN"/>
        </w:rPr>
        <w:t>中共东乡县委编办</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2022年5月</w:t>
      </w:r>
    </w:p>
    <w:p>
      <w:pPr>
        <w:pStyle w:val="2"/>
        <w:rPr>
          <w:rFonts w:hint="eastAsia" w:ascii="方正小标宋简体" w:eastAsia="方正小标宋简体"/>
          <w:sz w:val="48"/>
          <w:szCs w:val="48"/>
        </w:rPr>
      </w:pPr>
    </w:p>
    <w:p>
      <w:pPr>
        <w:rPr>
          <w:rFonts w:hint="eastAsia" w:ascii="方正小标宋简体" w:eastAsia="方正小标宋简体"/>
          <w:sz w:val="48"/>
          <w:szCs w:val="48"/>
        </w:rPr>
      </w:pPr>
    </w:p>
    <w:p>
      <w:pPr>
        <w:pStyle w:val="2"/>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贯彻执行中央、省、州关于行政管理体制改革和机构改革以及机构编制管理的方针政策和法律法规，拟定全县行政管理体制改革和机构改革的总体方案并组织实施；指导、协调全县行政管理体制和机构改革工作；研究拟定全县机构编制的管理办法，并督促落实。</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（二）负责全县党政机关，人大、政协机关，法院、检察院机关，各民主党派、人民团体机关及事业单位的机构编制管理工作。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（三）审核县委、县政府部门和县人大、县政协、县法院、县检察院机关，县各人民团体机关的主要职责、内设机构、人员编制方案。</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（四）协调县委各部门、县政府各部门、县委部门与县政府部门以及县与乡（镇）的职责分工。</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拟定全县事业单位管理体制和机构改革总体方案并组织实施；审核全县事业单位的机构设置、人员编制、领导职数、人员结构比例、经费预算形式等。指导协调全县事业单位管理体制改革和机构编制管理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（六）负责全县行政管理体制和机构改革方案、事业单位管理体制和机构改革方案以及机构编制管理政策法规执行情况的监督检查，开展县政府部门“三定”规定执行情况评估工作。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（七）负责全县机关和事业单位机构编制实名制管理工作；负责全县机关、参照公务员管理事业单位及全县事业单位人员招录（聘）和人员调入的机构编制审核工作。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（八）负责县级财政统一发放工资机构的人员编制审核工作。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（九）负责指导规范全县机关事业单位和其他非营利性单位网上名称工作。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（十）参与有关体制改革的调查研究和方案的拟定工作；承办报送县政府有关地方性法规、规章和规范性文件中涉及职责任务、机构编制内容的审核、修改工作；参与行政审批制度改革工作。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（十一）承办县委、县政府和县机构编制委员会交办的其他工作。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（十二）负责行政管理体制改革总体规划的组织实施工作。机关事业单位机构编制实名制管理工作。行政管理体制改革的调查研究，对改革成果进行评估，建立健全机构编制评估机制等职责。</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（十三）负责机关事业单位和其他非营利性单位的政务和公益机构域名注册管理职责。</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根据上述职责，县机构编制委员会办公室内设4个职能股（室）：</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（一）综合股 </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职责：承办机关文电、会务、机要、保密、档案、信访、接待等机关日常运转和综合协调工作；研究起草全县有关机构管理方面的规章草案和政策文件，围绕县编办重点工作开展全局性、长远性问题研究和专题调研，承办综合性文稿起草、公文审核、宣传和信息工作；研究制定机关内部管理制度并督促落实；承办本机关的机构编制、干部人事、劳动工资、出国政审、财务、安全、国有资产管理、离退休人员管理、后勤服务等行政事务管理工作；承担本机关信息化建设和政务公开等工作；牵头组织全县党政群机关和事业单位的政务和公益机构域名注册管理工作。</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（二）监督检查办公室（副科级建制）</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职责：监督检查全县各部门贯彻落实中央和省有关机构编制的方针政策和法律法规情况；监督检查和评估县直各部门“三定”规定的执行情况；监督检查省市县下达各乡镇、县直各部门的编制总额和机构设置执行情况；受理违反机构编制法规、纪律的检举和投诉，承办“12310”举报电话受理工作，对违反机构编制纪律的问题进行调查核实并提出处理意见；承办全县机关事业单位财政统一发放工资的机构人员编制月审核和台帐登记等日常管理工作；承担全县机关事业单位机构编制实名制管理工作；承担全县机构编制统计工作；承办市机构编制部门和县编委交办的督查事项。</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（三）机构编制股</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职责：研究提出全县行政管理体制和机构改革方案，并组织实施；审核县直、乡镇机关的职责配置、机构设置、人员编制和领导职数；承办县直、乡镇机关职责和机构编制调整工作；协调县级机关各部门之间的职责分工。研究提出事业单位管理体制和机构改革方案，并组织实施；负责全县事业单位分类改革工作；贯彻执衍中央和省市有关各类事业单位管理规定、编制标准；负责事业单位的机构设置、人员编制、领导职数、人员结构比例、经费预算形式等的审核和审批工作。研究协调县、乡（镇）事权划分与职责调整；承办县直、乡镇行政、事业编制总额的分配和调整工作；参与行政审批制度改革工作。</w:t>
      </w:r>
    </w:p>
    <w:p>
      <w:pPr>
        <w:spacing w:line="620" w:lineRule="exact"/>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（四）事业单位登记管理</w:t>
      </w:r>
      <w:r>
        <w:rPr>
          <w:rFonts w:hint="eastAsia" w:ascii="仿宋_GB2312" w:hAnsi="仿宋_GB2312" w:eastAsia="仿宋_GB2312" w:cs="仿宋_GB2312"/>
          <w:sz w:val="34"/>
          <w:szCs w:val="34"/>
          <w:lang w:eastAsia="zh-CN"/>
        </w:rPr>
        <w:t>股</w:t>
      </w:r>
    </w:p>
    <w:p>
      <w:pPr>
        <w:spacing w:line="62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要职责：指导全县各系统事业单位的机构改革和机构编制管理工作；贯彻执行国务院颁发的《事业单位登记管理暂行条例》，研究拟定全县事业单位登记管理的具体政策、规定；负责县乡级所属事业单位的登记管理工作，并确认设立、变更事业单位的机构属性、所有制性质、业务范围、登记名称和法人代表，办理登记手续，核发登记证书及年检；负责维护核准登记事业单位的合法权益，对违反登记管理的行为进行查处。</w:t>
      </w:r>
    </w:p>
    <w:p>
      <w:pPr>
        <w:spacing w:line="620" w:lineRule="exact"/>
        <w:rPr>
          <w:rFonts w:hint="eastAsia" w:ascii="仿宋_GB2312" w:hAnsi="仿宋_GB2312" w:eastAsia="仿宋_GB2312" w:cs="仿宋_GB2312"/>
          <w:sz w:val="34"/>
          <w:szCs w:val="34"/>
        </w:rPr>
      </w:pPr>
      <w:r>
        <w:rPr>
          <w:rFonts w:hint="eastAsia" w:ascii="宋体" w:hAnsi="宋体" w:cs="仿宋_GB2312"/>
          <w:b/>
          <w:sz w:val="34"/>
          <w:szCs w:val="34"/>
          <w:lang w:eastAsia="zh-CN"/>
        </w:rPr>
        <w:t>二、</w:t>
      </w:r>
      <w:r>
        <w:rPr>
          <w:rFonts w:hint="eastAsia" w:ascii="宋体" w:hAnsi="宋体" w:cs="仿宋_GB2312"/>
          <w:b/>
          <w:sz w:val="34"/>
          <w:szCs w:val="34"/>
        </w:rPr>
        <w:t>所属事业单位</w:t>
      </w:r>
    </w:p>
    <w:p>
      <w:pPr>
        <w:spacing w:line="620" w:lineRule="exact"/>
        <w:ind w:firstLine="680" w:firstLineChars="200"/>
        <w:rPr>
          <w:rFonts w:hint="eastAsia" w:ascii="黑体" w:hAnsi="黑体" w:eastAsia="黑体"/>
          <w:sz w:val="30"/>
          <w:szCs w:val="30"/>
        </w:rPr>
      </w:pPr>
      <w:r>
        <w:rPr>
          <w:rFonts w:hint="eastAsia" w:ascii="仿宋_GB2312" w:hAnsi="仿宋_GB2312" w:eastAsia="仿宋_GB2312" w:cs="仿宋_GB2312"/>
          <w:sz w:val="34"/>
          <w:szCs w:val="34"/>
        </w:rPr>
        <w:t>县编办电子政务中心</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正科级事业单位，核定事业编制1</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名，核定领导职数3名（其中：</w:t>
      </w:r>
      <w:r>
        <w:rPr>
          <w:rFonts w:hint="eastAsia" w:ascii="仿宋_GB2312" w:hAnsi="仿宋_GB2312" w:eastAsia="仿宋_GB2312" w:cs="仿宋_GB2312"/>
          <w:sz w:val="34"/>
          <w:szCs w:val="34"/>
          <w:lang w:eastAsia="zh-CN"/>
        </w:rPr>
        <w:t>主任</w:t>
      </w:r>
      <w:r>
        <w:rPr>
          <w:rFonts w:hint="eastAsia" w:ascii="仿宋_GB2312" w:hAnsi="仿宋_GB2312" w:eastAsia="仿宋_GB2312" w:cs="仿宋_GB2312"/>
          <w:sz w:val="34"/>
          <w:szCs w:val="34"/>
        </w:rPr>
        <w:t>1名、副</w:t>
      </w:r>
      <w:r>
        <w:rPr>
          <w:rFonts w:hint="eastAsia" w:ascii="仿宋_GB2312" w:hAnsi="仿宋_GB2312" w:eastAsia="仿宋_GB2312" w:cs="仿宋_GB2312"/>
          <w:sz w:val="34"/>
          <w:szCs w:val="34"/>
          <w:lang w:eastAsia="zh-CN"/>
        </w:rPr>
        <w:t>主任</w:t>
      </w:r>
      <w:r>
        <w:rPr>
          <w:rFonts w:hint="eastAsia" w:ascii="仿宋_GB2312" w:hAnsi="仿宋_GB2312" w:eastAsia="仿宋_GB2312" w:cs="仿宋_GB2312"/>
          <w:sz w:val="34"/>
          <w:szCs w:val="34"/>
        </w:rPr>
        <w:t>2名）。主要职责：负责机关电子政务和信息化建设日常工作；指导规范全县党政机关、事业单位和其他非营利性单位网上域名工作；承担“实名制”数据库维护和管理建设工作；承担县编办内外网网站建设、运行维护管理和编辑等工作；承担机构编制管理相关业务系统及办公自动化系统软件组织开发工作；承担全县机构编制统计相关工作；承担全县机构编制部门电子政务建设绩效评估和督促检查等相关工作；协调指导县编办开展电子政务和信息化建设。</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pStyle w:val="2"/>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hint="eastAsia" w:ascii="黑体" w:hAnsi="黑体" w:eastAsia="黑体"/>
          <w:sz w:val="32"/>
          <w:szCs w:val="32"/>
          <w:lang w:eastAsia="zh-CN"/>
        </w:rPr>
      </w:pPr>
    </w:p>
    <w:p>
      <w:pPr>
        <w:pStyle w:val="2"/>
        <w:rPr>
          <w:rFonts w:hint="eastAsia" w:ascii="黑体" w:hAnsi="黑体" w:eastAsia="黑体"/>
          <w:sz w:val="32"/>
          <w:szCs w:val="32"/>
          <w:lang w:eastAsia="zh-CN"/>
        </w:rPr>
      </w:pPr>
    </w:p>
    <w:p>
      <w:pPr>
        <w:rPr>
          <w:rFonts w:hint="eastAsia" w:ascii="黑体" w:hAnsi="黑体" w:eastAsia="黑体"/>
          <w:sz w:val="32"/>
          <w:szCs w:val="32"/>
          <w:lang w:eastAsia="zh-CN"/>
        </w:rPr>
      </w:pPr>
    </w:p>
    <w:p>
      <w:pPr>
        <w:pStyle w:val="2"/>
        <w:rPr>
          <w:rFonts w:hint="eastAsia" w:ascii="黑体" w:hAnsi="黑体" w:eastAsia="黑体"/>
          <w:sz w:val="32"/>
          <w:szCs w:val="32"/>
          <w:lang w:eastAsia="zh-CN"/>
        </w:rPr>
      </w:pPr>
    </w:p>
    <w:p>
      <w:pPr>
        <w:rPr>
          <w:rFonts w:hint="eastAsia" w:ascii="黑体" w:hAnsi="黑体" w:eastAsia="黑体"/>
          <w:sz w:val="32"/>
          <w:szCs w:val="32"/>
          <w:lang w:eastAsia="zh-CN"/>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ascii="仿宋_GB2312" w:hAnsi="宋体" w:eastAsia="仿宋_GB2312"/>
          <w:sz w:val="32"/>
          <w:szCs w:val="32"/>
        </w:rPr>
      </w:pPr>
      <w:r>
        <w:rPr>
          <w:rFonts w:hint="eastAsia" w:ascii="仿宋_GB2312" w:hAnsi="黑体" w:eastAsia="仿宋_GB2312"/>
          <w:sz w:val="32"/>
          <w:szCs w:val="32"/>
        </w:rPr>
        <w:t>2022年预算收入</w:t>
      </w:r>
      <w:r>
        <w:rPr>
          <w:rFonts w:hint="eastAsia" w:ascii="仿宋_GB2312" w:hAnsi="黑体" w:eastAsia="仿宋_GB2312"/>
          <w:sz w:val="32"/>
          <w:szCs w:val="32"/>
          <w:highlight w:val="none"/>
        </w:rPr>
        <w:t>2667977.58</w:t>
      </w:r>
      <w:r>
        <w:rPr>
          <w:rFonts w:hint="eastAsia" w:ascii="仿宋_GB2312" w:hAnsi="黑体" w:eastAsia="仿宋_GB2312"/>
          <w:sz w:val="32"/>
          <w:szCs w:val="32"/>
        </w:rPr>
        <w:t>元，比上年预算</w:t>
      </w:r>
      <w:r>
        <w:rPr>
          <w:rFonts w:hint="eastAsia" w:ascii="仿宋_GB2312" w:hAnsi="黑体" w:eastAsia="仿宋_GB2312"/>
          <w:sz w:val="32"/>
          <w:szCs w:val="32"/>
          <w:lang w:eastAsia="zh-CN"/>
        </w:rPr>
        <w:t>增加238314.58</w:t>
      </w:r>
      <w:r>
        <w:rPr>
          <w:rFonts w:hint="eastAsia" w:ascii="仿宋_GB2312" w:hAnsi="黑体" w:eastAsia="仿宋_GB2312"/>
          <w:sz w:val="32"/>
          <w:szCs w:val="32"/>
        </w:rPr>
        <w:t>元，其中：一般公共预算财政拨款收入2667977.58元，政</w:t>
      </w:r>
      <w:r>
        <w:rPr>
          <w:rFonts w:hint="eastAsia" w:ascii="仿宋_GB2312" w:hAnsi="宋体" w:eastAsia="仿宋_GB2312"/>
          <w:sz w:val="32"/>
          <w:szCs w:val="32"/>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元。预算支出2667977.58元，相应比上年预算数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9.8</w:t>
      </w:r>
      <w:r>
        <w:rPr>
          <w:rFonts w:hint="eastAsia" w:ascii="仿宋_GB2312" w:hAnsi="宋体" w:eastAsia="仿宋_GB2312"/>
          <w:sz w:val="32"/>
          <w:szCs w:val="32"/>
        </w:rPr>
        <w:t>%。</w:t>
      </w:r>
      <w:r>
        <w:rPr>
          <w:rFonts w:hint="eastAsia" w:ascii="仿宋_GB2312" w:hAnsi="宋体" w:eastAsia="仿宋_GB2312"/>
          <w:sz w:val="32"/>
          <w:szCs w:val="32"/>
          <w:lang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人员工资增加</w:t>
      </w:r>
      <w:r>
        <w:rPr>
          <w:rFonts w:hint="eastAsia" w:ascii="仿宋_GB2312" w:hAnsi="宋体" w:eastAsia="仿宋_GB2312"/>
          <w:sz w:val="32"/>
          <w:szCs w:val="32"/>
          <w:lang w:eastAsia="zh-CN"/>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一般公共服务支出2164905.04元</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其中：财政拨款2164905.04元，比上年预算数减少</w:t>
      </w:r>
      <w:r>
        <w:rPr>
          <w:rFonts w:hint="eastAsia" w:ascii="仿宋_GB2312" w:hAnsi="宋体" w:eastAsia="仿宋_GB2312"/>
          <w:sz w:val="32"/>
          <w:szCs w:val="32"/>
          <w:lang w:val="en-US" w:eastAsia="zh-CN"/>
        </w:rPr>
        <w:t>0.086</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主要原因是：公用经费支出减少</w:t>
      </w:r>
      <w:r>
        <w:rPr>
          <w:rFonts w:hint="eastAsia" w:ascii="仿宋_GB2312" w:hAnsi="宋体" w:eastAsia="仿宋_GB2312"/>
          <w:sz w:val="32"/>
          <w:szCs w:val="32"/>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rPr>
        <w:t>社会保障和就业支出233855.42</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,减少11.02%，主要原因是人员减少</w:t>
      </w:r>
      <w:r>
        <w:rPr>
          <w:rFonts w:hint="eastAsia" w:ascii="仿宋_GB2312" w:hAnsi="黑体" w:eastAsia="仿宋_GB2312"/>
          <w:sz w:val="32"/>
          <w:szCs w:val="32"/>
          <w:lang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卫生健康支出95990.88元，</w:t>
      </w:r>
      <w:r>
        <w:rPr>
          <w:rFonts w:hint="eastAsia" w:ascii="仿宋_GB2312" w:hAnsi="黑体" w:eastAsia="仿宋_GB2312"/>
          <w:sz w:val="32"/>
          <w:szCs w:val="32"/>
          <w:highlight w:val="none"/>
          <w:lang w:val="en-US" w:eastAsia="zh-CN"/>
        </w:rPr>
        <w:t>增加100%，主要原因是2021年未单独列入预算</w:t>
      </w:r>
      <w:r>
        <w:rPr>
          <w:rFonts w:hint="eastAsia" w:ascii="仿宋_GB2312" w:hAnsi="黑体" w:eastAsia="仿宋_GB2312"/>
          <w:sz w:val="32"/>
          <w:szCs w:val="32"/>
          <w:highlight w:val="none"/>
          <w:lang w:eastAsia="zh-CN"/>
        </w:rPr>
        <w:t>。</w:t>
      </w:r>
    </w:p>
    <w:p>
      <w:pPr>
        <w:pStyle w:val="2"/>
        <w:ind w:firstLine="320" w:firstLineChars="100"/>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cs="Times New Roman"/>
          <w:kern w:val="2"/>
          <w:sz w:val="32"/>
          <w:szCs w:val="32"/>
          <w:highlight w:val="none"/>
          <w:lang w:val="en-US" w:eastAsia="zh-CN" w:bidi="ar-SA"/>
        </w:rPr>
        <w:t>住房保障支出173226.24元,</w:t>
      </w:r>
      <w:r>
        <w:rPr>
          <w:rFonts w:hint="eastAsia" w:ascii="仿宋_GB2312" w:hAnsi="黑体" w:eastAsia="仿宋_GB2312"/>
          <w:sz w:val="32"/>
          <w:szCs w:val="32"/>
          <w:highlight w:val="none"/>
          <w:lang w:val="en-US" w:eastAsia="zh-CN"/>
        </w:rPr>
        <w:t>增加100%，主要原因是2021年未单独列入预算</w:t>
      </w:r>
      <w:r>
        <w:rPr>
          <w:rFonts w:hint="eastAsia" w:ascii="仿宋_GB2312" w:hAnsi="黑体" w:eastAsia="仿宋_GB2312" w:cs="Times New Roman"/>
          <w:kern w:val="2"/>
          <w:sz w:val="32"/>
          <w:szCs w:val="32"/>
          <w:highlight w:val="none"/>
          <w:lang w:val="en-US" w:eastAsia="zh-CN" w:bidi="ar-SA"/>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工资福利支出2520977.58元，商品和服务132000.00元，基本建设支出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宋体" w:eastAsia="仿宋_GB2312"/>
          <w:sz w:val="32"/>
          <w:szCs w:val="32"/>
        </w:rPr>
      </w:pPr>
      <w:r>
        <w:rPr>
          <w:rFonts w:hint="eastAsia" w:ascii="楷体_GB2312" w:hAnsi="黑体" w:eastAsia="楷体_GB2312"/>
          <w:b/>
          <w:sz w:val="32"/>
          <w:szCs w:val="32"/>
          <w:highlight w:val="none"/>
        </w:rPr>
        <w:t>（一）一般公共服务支出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群众团体事务</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28871.04</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增加31.95</w:t>
      </w:r>
      <w:r>
        <w:rPr>
          <w:rFonts w:hint="eastAsia" w:ascii="仿宋_GB2312" w:hAnsi="宋体" w:eastAsia="仿宋_GB2312"/>
          <w:sz w:val="32"/>
          <w:szCs w:val="32"/>
        </w:rPr>
        <w:t>%</w:t>
      </w:r>
      <w:r>
        <w:rPr>
          <w:rFonts w:hint="eastAsia" w:ascii="仿宋_GB2312" w:hAnsi="黑体" w:eastAsia="仿宋_GB2312"/>
          <w:sz w:val="32"/>
          <w:szCs w:val="32"/>
        </w:rPr>
        <w:t>。其中：</w:t>
      </w:r>
      <w:r>
        <w:rPr>
          <w:rFonts w:hint="eastAsia" w:ascii="仿宋_GB2312" w:hAnsi="黑体" w:eastAsia="仿宋_GB2312"/>
          <w:sz w:val="32"/>
          <w:szCs w:val="32"/>
          <w:lang w:eastAsia="zh-CN"/>
        </w:rPr>
        <w:t>工会事务</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28871.04</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增加31.95</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主要原因是：公用经费支出增加</w:t>
      </w:r>
      <w:r>
        <w:rPr>
          <w:rFonts w:hint="eastAsia" w:ascii="仿宋_GB2312" w:hAnsi="宋体" w:eastAsia="仿宋_GB2312"/>
          <w:sz w:val="32"/>
          <w:szCs w:val="32"/>
        </w:rPr>
        <w:t>。</w:t>
      </w:r>
    </w:p>
    <w:p>
      <w:pPr>
        <w:spacing w:line="640" w:lineRule="exact"/>
        <w:ind w:firstLine="1285" w:firstLineChars="400"/>
        <w:rPr>
          <w:rFonts w:hint="eastAsia" w:ascii="仿宋_GB2312" w:hAnsi="宋体" w:eastAsia="仿宋_GB2312"/>
          <w:sz w:val="32"/>
          <w:szCs w:val="32"/>
        </w:rPr>
      </w:pPr>
      <w:r>
        <w:rPr>
          <w:rFonts w:hint="eastAsia" w:ascii="楷体_GB2312" w:hAnsi="黑体" w:eastAsia="楷体_GB2312"/>
          <w:b/>
          <w:sz w:val="32"/>
          <w:szCs w:val="32"/>
          <w:highlight w:val="none"/>
        </w:rPr>
        <w:t>一般公共服务支出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宋体" w:eastAsia="仿宋_GB2312"/>
          <w:sz w:val="32"/>
          <w:szCs w:val="32"/>
          <w:lang w:val="en-US" w:eastAsia="zh-CN"/>
        </w:rPr>
        <w:t>组织事务</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2136034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减少41%</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rPr>
        <w:t>其中：</w:t>
      </w:r>
      <w:r>
        <w:rPr>
          <w:rFonts w:hint="eastAsia" w:ascii="仿宋_GB2312" w:hAnsi="黑体" w:eastAsia="仿宋_GB2312"/>
          <w:sz w:val="32"/>
          <w:szCs w:val="32"/>
          <w:lang w:eastAsia="zh-CN"/>
        </w:rPr>
        <w:t>行政运行</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2136034</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减少41%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主要原因公用经费支出减少</w:t>
      </w:r>
      <w:r>
        <w:rPr>
          <w:rFonts w:hint="eastAsia" w:ascii="仿宋_GB2312" w:hAnsi="宋体" w:eastAsia="仿宋_GB2312"/>
          <w:sz w:val="32"/>
          <w:szCs w:val="32"/>
        </w:rPr>
        <w:t>。</w:t>
      </w:r>
    </w:p>
    <w:p>
      <w:pPr>
        <w:numPr>
          <w:ilvl w:val="0"/>
          <w:numId w:val="2"/>
        </w:numPr>
        <w:spacing w:line="640" w:lineRule="exact"/>
        <w:ind w:left="-13" w:leftChars="0" w:firstLine="643" w:firstLineChars="0"/>
        <w:rPr>
          <w:rFonts w:hint="eastAsia" w:ascii="仿宋_GB2312" w:hAnsi="黑体" w:eastAsia="仿宋_GB2312"/>
          <w:sz w:val="32"/>
          <w:szCs w:val="32"/>
          <w:highlight w:val="none"/>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）行政事业单位养老支出</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款</w:t>
      </w:r>
      <w:r>
        <w:rPr>
          <w:rFonts w:hint="eastAsia" w:ascii="仿宋_GB2312" w:hAnsi="黑体" w:eastAsia="仿宋_GB2312"/>
          <w:b/>
          <w:bCs/>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230968.32</w:t>
      </w:r>
      <w:r>
        <w:rPr>
          <w:rFonts w:hint="eastAsia" w:ascii="仿宋_GB2312" w:hAnsi="黑体" w:eastAsia="仿宋_GB2312"/>
          <w:sz w:val="32"/>
          <w:szCs w:val="32"/>
          <w:highlight w:val="none"/>
        </w:rPr>
        <w:t>元。其中：基本养老保险缴费支出</w:t>
      </w:r>
      <w:r>
        <w:rPr>
          <w:rFonts w:hint="eastAsia" w:ascii="仿宋_GB2312" w:hAnsi="黑体" w:eastAsia="仿宋_GB2312"/>
          <w:b w:val="0"/>
          <w:bCs w:val="0"/>
          <w:sz w:val="32"/>
          <w:szCs w:val="32"/>
          <w:highlight w:val="none"/>
          <w:lang w:eastAsia="zh-CN"/>
        </w:rPr>
        <w:t>（</w:t>
      </w:r>
      <w:r>
        <w:rPr>
          <w:rFonts w:hint="eastAsia" w:ascii="仿宋_GB2312" w:hAnsi="黑体" w:eastAsia="仿宋_GB2312"/>
          <w:b w:val="0"/>
          <w:bCs w:val="0"/>
          <w:sz w:val="32"/>
          <w:szCs w:val="32"/>
          <w:highlight w:val="none"/>
          <w:lang w:val="en-US" w:eastAsia="zh-CN"/>
        </w:rPr>
        <w:t>项</w:t>
      </w:r>
      <w:r>
        <w:rPr>
          <w:rFonts w:hint="eastAsia" w:ascii="仿宋_GB2312" w:hAnsi="黑体" w:eastAsia="仿宋_GB2312"/>
          <w:b w:val="0"/>
          <w:bCs w:val="0"/>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230968.32</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w:t>
      </w:r>
      <w:r>
        <w:rPr>
          <w:rFonts w:hint="eastAsia" w:ascii="仿宋_GB2312" w:hAnsi="黑体" w:eastAsia="仿宋_GB2312"/>
          <w:sz w:val="32"/>
          <w:szCs w:val="32"/>
          <w:highlight w:val="none"/>
          <w:lang w:val="en-US" w:eastAsia="zh-CN"/>
        </w:rPr>
        <w:t>12.14%，主要原因是人员变动</w:t>
      </w:r>
      <w:r>
        <w:rPr>
          <w:rFonts w:hint="eastAsia" w:ascii="仿宋_GB2312" w:hAnsi="黑体" w:eastAsia="仿宋_GB2312"/>
          <w:sz w:val="32"/>
          <w:szCs w:val="32"/>
          <w:highlight w:val="none"/>
        </w:rPr>
        <w:t>。</w:t>
      </w:r>
    </w:p>
    <w:p>
      <w:pPr>
        <w:pStyle w:val="2"/>
        <w:ind w:firstLine="210" w:firstLineChars="100"/>
        <w:rPr>
          <w:rFonts w:hint="eastAsia" w:ascii="仿宋" w:hAnsi="仿宋" w:eastAsia="仿宋" w:cs="仿宋"/>
          <w:sz w:val="32"/>
          <w:szCs w:val="32"/>
          <w:lang w:val="en-US" w:eastAsia="zh-CN"/>
        </w:rPr>
      </w:pPr>
      <w:r>
        <w:rPr>
          <w:rFonts w:hint="eastAsia"/>
          <w:lang w:val="en-US" w:eastAsia="zh-CN"/>
        </w:rPr>
        <w:t xml:space="preserve">          </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w:t>
      </w:r>
      <w:r>
        <w:rPr>
          <w:rFonts w:hint="eastAsia" w:ascii="仿宋" w:hAnsi="仿宋" w:eastAsia="仿宋" w:cs="仿宋"/>
          <w:sz w:val="32"/>
          <w:szCs w:val="32"/>
          <w:lang w:val="en-US" w:eastAsia="zh-CN"/>
        </w:rPr>
        <w:t>财政对其他社会保险基金的补助</w:t>
      </w:r>
      <w:r>
        <w:rPr>
          <w:rFonts w:hint="eastAsia" w:ascii="仿宋" w:hAnsi="仿宋" w:eastAsia="仿宋" w:cs="仿宋"/>
          <w:b/>
          <w:bCs/>
          <w:sz w:val="32"/>
          <w:szCs w:val="32"/>
          <w:lang w:val="en-US" w:eastAsia="zh-CN"/>
        </w:rPr>
        <w:t>（款）</w:t>
      </w:r>
      <w:r>
        <w:rPr>
          <w:rFonts w:hint="eastAsia" w:ascii="仿宋_GB2312" w:hAnsi="黑体" w:eastAsia="仿宋_GB2312"/>
          <w:sz w:val="32"/>
          <w:szCs w:val="32"/>
          <w:highlight w:val="none"/>
        </w:rPr>
        <w:t>2022年预算支</w:t>
      </w:r>
      <w:r>
        <w:rPr>
          <w:rFonts w:hint="eastAsia" w:ascii="仿宋_GB2312" w:hAnsi="黑体" w:eastAsia="仿宋_GB2312"/>
          <w:sz w:val="32"/>
          <w:szCs w:val="32"/>
          <w:highlight w:val="none"/>
          <w:lang w:val="en-US" w:eastAsia="zh-CN"/>
        </w:rPr>
        <w:t>出</w:t>
      </w:r>
      <w:r>
        <w:rPr>
          <w:rFonts w:hint="eastAsia" w:ascii="仿宋" w:hAnsi="仿宋" w:eastAsia="仿宋" w:cs="仿宋"/>
          <w:sz w:val="32"/>
          <w:szCs w:val="32"/>
          <w:lang w:val="en-US" w:eastAsia="zh-CN"/>
        </w:rPr>
        <w:t>2887.10元。</w:t>
      </w:r>
      <w:r>
        <w:rPr>
          <w:rFonts w:hint="eastAsia" w:ascii="仿宋_GB2312" w:hAnsi="黑体" w:eastAsia="仿宋_GB2312"/>
          <w:sz w:val="32"/>
          <w:szCs w:val="32"/>
        </w:rPr>
        <w:t>其中：财政对工伤保险基金的补助</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rPr>
        <w:t>2022年预算支</w:t>
      </w:r>
      <w:r>
        <w:rPr>
          <w:rFonts w:hint="eastAsia" w:ascii="仿宋_GB2312" w:hAnsi="黑体" w:eastAsia="仿宋_GB2312"/>
          <w:sz w:val="32"/>
          <w:szCs w:val="32"/>
          <w:highlight w:val="none"/>
          <w:lang w:val="en-US" w:eastAsia="zh-CN"/>
        </w:rPr>
        <w:t>出</w:t>
      </w:r>
      <w:r>
        <w:rPr>
          <w:rFonts w:hint="eastAsia" w:ascii="仿宋" w:hAnsi="仿宋" w:eastAsia="仿宋" w:cs="仿宋"/>
          <w:sz w:val="32"/>
          <w:szCs w:val="32"/>
          <w:lang w:val="en-US" w:eastAsia="zh-CN"/>
        </w:rPr>
        <w:t>2887.10元，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highlight w:val="none"/>
          <w:lang w:val="en-US" w:eastAsia="zh-CN"/>
        </w:rPr>
        <w:t>%，主要原因是2021年未单独列入预算</w:t>
      </w:r>
      <w:r>
        <w:rPr>
          <w:rFonts w:hint="eastAsia" w:ascii="仿宋" w:hAnsi="仿宋" w:eastAsia="仿宋" w:cs="仿宋"/>
          <w:sz w:val="32"/>
          <w:szCs w:val="32"/>
          <w:lang w:val="en-US" w:eastAsia="zh-CN"/>
        </w:rPr>
        <w:t>。</w:t>
      </w:r>
    </w:p>
    <w:p>
      <w:pPr>
        <w:pStyle w:val="2"/>
        <w:ind w:firstLine="321" w:firstLineChars="100"/>
        <w:rPr>
          <w:rFonts w:hint="eastAsia" w:ascii="仿宋_GB2312" w:hAnsi="黑体" w:eastAsia="仿宋_GB2312"/>
          <w:sz w:val="32"/>
          <w:szCs w:val="32"/>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三）</w:t>
      </w:r>
      <w:r>
        <w:rPr>
          <w:rFonts w:hint="eastAsia" w:ascii="楷体_GB2312" w:hAnsi="黑体" w:eastAsia="楷体_GB2312"/>
          <w:b/>
          <w:sz w:val="32"/>
          <w:szCs w:val="32"/>
        </w:rPr>
        <w:t>卫生健康支出（类）</w:t>
      </w:r>
      <w:r>
        <w:rPr>
          <w:rFonts w:hint="eastAsia" w:ascii="楷体_GB2312" w:hAnsi="黑体" w:eastAsia="楷体_GB2312"/>
          <w:b/>
          <w:sz w:val="32"/>
          <w:szCs w:val="32"/>
          <w:lang w:eastAsia="zh-CN"/>
        </w:rPr>
        <w:t>财政对基本医疗保险基金的补助</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95990.88</w:t>
      </w:r>
      <w:r>
        <w:rPr>
          <w:rFonts w:hint="eastAsia" w:ascii="仿宋_GB2312" w:hAnsi="黑体" w:eastAsia="仿宋_GB2312"/>
          <w:sz w:val="32"/>
          <w:szCs w:val="32"/>
        </w:rPr>
        <w:t>元。其中：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95990.88</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highlight w:val="none"/>
          <w:lang w:val="en-US" w:eastAsia="zh-CN"/>
        </w:rPr>
        <w:t>主要原因是2021年未单独列入预算</w:t>
      </w:r>
      <w:r>
        <w:rPr>
          <w:rFonts w:hint="eastAsia" w:ascii="仿宋_GB2312" w:hAnsi="宋体" w:eastAsia="仿宋_GB2312"/>
          <w:sz w:val="32"/>
          <w:szCs w:val="32"/>
          <w:lang w:eastAsia="zh-CN"/>
        </w:rPr>
        <w:t>。</w:t>
      </w:r>
    </w:p>
    <w:p>
      <w:pPr>
        <w:pStyle w:val="2"/>
        <w:ind w:firstLine="321" w:firstLineChars="100"/>
        <w:rPr>
          <w:rFonts w:hint="eastAsia"/>
          <w:lang w:eastAsia="zh-CN"/>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四）</w:t>
      </w:r>
      <w:r>
        <w:rPr>
          <w:rFonts w:hint="eastAsia" w:ascii="楷体_GB2312" w:hAnsi="黑体" w:eastAsia="楷体_GB2312"/>
          <w:b/>
          <w:sz w:val="32"/>
          <w:szCs w:val="32"/>
          <w:lang w:eastAsia="zh-CN"/>
        </w:rPr>
        <w:t>住房保障支出（</w:t>
      </w:r>
      <w:r>
        <w:rPr>
          <w:rFonts w:hint="eastAsia" w:ascii="楷体_GB2312" w:hAnsi="黑体" w:eastAsia="楷体_GB2312"/>
          <w:b/>
          <w:sz w:val="32"/>
          <w:szCs w:val="32"/>
        </w:rPr>
        <w:t>类）</w:t>
      </w:r>
      <w:r>
        <w:rPr>
          <w:rFonts w:hint="eastAsia" w:ascii="楷体_GB2312" w:hAnsi="黑体" w:eastAsia="楷体_GB2312"/>
          <w:b/>
          <w:sz w:val="32"/>
          <w:szCs w:val="32"/>
          <w:lang w:eastAsia="zh-CN"/>
        </w:rPr>
        <w:t>住房改革支出</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173226.24</w:t>
      </w:r>
      <w:r>
        <w:rPr>
          <w:rFonts w:hint="eastAsia" w:ascii="仿宋_GB2312" w:hAnsi="黑体" w:eastAsia="仿宋_GB2312"/>
          <w:sz w:val="32"/>
          <w:szCs w:val="32"/>
        </w:rPr>
        <w:t>元。其中：</w:t>
      </w:r>
      <w:r>
        <w:rPr>
          <w:rFonts w:hint="eastAsia" w:ascii="仿宋_GB2312" w:hAnsi="黑体" w:eastAsia="仿宋_GB2312"/>
          <w:sz w:val="32"/>
          <w:szCs w:val="32"/>
          <w:highlight w:val="none"/>
          <w:lang w:eastAsia="zh-CN"/>
        </w:rPr>
        <w:t>住房公积金</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173226.24</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highlight w:val="none"/>
          <w:lang w:val="en-US" w:eastAsia="zh-CN"/>
        </w:rPr>
        <w:t>主要原因是2021年未单独列入预算</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spacing w:line="640" w:lineRule="exact"/>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黑体" w:eastAsia="仿宋_GB2312"/>
          <w:sz w:val="32"/>
          <w:szCs w:val="32"/>
          <w:highlight w:val="none"/>
          <w:lang w:val="en-US" w:eastAsia="zh-CN"/>
        </w:rPr>
        <w:t>2667977.58元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其中：人员经费</w:t>
      </w:r>
      <w:r>
        <w:rPr>
          <w:rFonts w:hint="eastAsia" w:ascii="仿宋_GB2312" w:hAnsi="黑体" w:eastAsia="仿宋_GB2312"/>
          <w:sz w:val="32"/>
          <w:szCs w:val="32"/>
          <w:highlight w:val="none"/>
          <w:lang w:val="en-US" w:eastAsia="zh-CN"/>
        </w:rPr>
        <w:t>2520977.58</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147000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rPr>
        <w:t>减少</w:t>
      </w:r>
      <w:r>
        <w:rPr>
          <w:rFonts w:hint="eastAsia" w:ascii="仿宋_GB2312" w:hAnsi="宋体" w:eastAsia="仿宋_GB2312"/>
          <w:sz w:val="32"/>
          <w:szCs w:val="32"/>
          <w:highlight w:val="none"/>
          <w:lang w:val="en-US" w:eastAsia="zh-CN"/>
        </w:rPr>
        <w:t>9.81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主要原因是公用经费支出减少</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bookmarkStart w:id="0" w:name="_GoBack"/>
      <w:bookmarkEnd w:id="0"/>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147000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与</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val="en-US" w:eastAsia="zh-CN"/>
        </w:rPr>
        <w:t>数无变化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15000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val="en-US" w:eastAsia="zh-CN"/>
        </w:rPr>
        <w:t>减少3500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减少70</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val="en-US"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val="en-US" w:eastAsia="zh-CN"/>
        </w:rPr>
        <w:t>采购计划减少。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15000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22080"/>
    <w:multiLevelType w:val="singleLevel"/>
    <w:tmpl w:val="F2022080"/>
    <w:lvl w:ilvl="0" w:tentative="0">
      <w:start w:val="2"/>
      <w:numFmt w:val="chineseCounting"/>
      <w:suff w:val="nothing"/>
      <w:lvlText w:val="（%1）"/>
      <w:lvlJc w:val="left"/>
      <w:pPr>
        <w:ind w:left="-13"/>
      </w:pPr>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207A2"/>
    <w:rsid w:val="06BE6228"/>
    <w:rsid w:val="07EA6CFD"/>
    <w:rsid w:val="0A116753"/>
    <w:rsid w:val="0B896034"/>
    <w:rsid w:val="0D824E94"/>
    <w:rsid w:val="0E6F37D9"/>
    <w:rsid w:val="112936A0"/>
    <w:rsid w:val="1250416D"/>
    <w:rsid w:val="13B82E0D"/>
    <w:rsid w:val="141D039C"/>
    <w:rsid w:val="142C45C0"/>
    <w:rsid w:val="17432B85"/>
    <w:rsid w:val="1909264A"/>
    <w:rsid w:val="198119BE"/>
    <w:rsid w:val="1B78482C"/>
    <w:rsid w:val="1C6D1D31"/>
    <w:rsid w:val="1D654F62"/>
    <w:rsid w:val="1DAD2DA2"/>
    <w:rsid w:val="204B1966"/>
    <w:rsid w:val="205A7194"/>
    <w:rsid w:val="210F4887"/>
    <w:rsid w:val="22273516"/>
    <w:rsid w:val="222D7DCA"/>
    <w:rsid w:val="2233056C"/>
    <w:rsid w:val="23513756"/>
    <w:rsid w:val="250F1490"/>
    <w:rsid w:val="27A042B0"/>
    <w:rsid w:val="292A0545"/>
    <w:rsid w:val="2B26350E"/>
    <w:rsid w:val="2B30453E"/>
    <w:rsid w:val="2B5C1C56"/>
    <w:rsid w:val="2BC8059C"/>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52E1513"/>
    <w:rsid w:val="661A6258"/>
    <w:rsid w:val="6A136FDE"/>
    <w:rsid w:val="6A752B54"/>
    <w:rsid w:val="6EA6456E"/>
    <w:rsid w:val="710C23FB"/>
    <w:rsid w:val="71B817B1"/>
    <w:rsid w:val="74517818"/>
    <w:rsid w:val="75840CDB"/>
    <w:rsid w:val="75FA50B5"/>
    <w:rsid w:val="77781E83"/>
    <w:rsid w:val="78062181"/>
    <w:rsid w:val="794965D5"/>
    <w:rsid w:val="79D61FC6"/>
    <w:rsid w:val="7CF82ADB"/>
    <w:rsid w:val="7F2E2508"/>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4442</Words>
  <Characters>4827</Characters>
  <Lines>16</Lines>
  <Paragraphs>4</Paragraphs>
  <TotalTime>1</TotalTime>
  <ScaleCrop>false</ScaleCrop>
  <LinksUpToDate>false</LinksUpToDate>
  <CharactersWithSpaces>4893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2023-06-09T05:00:48Z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294F53C0DE694BB6BF953EEF6E4BFF05_13</vt:lpwstr>
  </property>
</Properties>
</file>