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rPr>
        <w:t>202</w:t>
      </w:r>
      <w:r>
        <w:rPr>
          <w:rFonts w:hint="eastAsia" w:ascii="方正小标宋简体" w:eastAsia="方正小标宋简体"/>
          <w:sz w:val="72"/>
          <w:szCs w:val="72"/>
          <w:highlight w:val="none"/>
          <w:lang w:val="en-US" w:eastAsia="zh-CN"/>
        </w:rPr>
        <w:t>2</w:t>
      </w:r>
      <w:r>
        <w:rPr>
          <w:rFonts w:hint="eastAsia" w:ascii="方正小标宋简体" w:eastAsia="方正小标宋简体"/>
          <w:sz w:val="72"/>
          <w:szCs w:val="72"/>
          <w:highlight w:val="none"/>
        </w:rPr>
        <w:t>年东乡县城管局部门预算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（一）宣传、贯彻国家及省有关法律、法规和规章，研究拟订有关市容环境卫生等地方规范性文件，制定城市容貌标准，并负责督促实施。</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（二）行使县城市容和环境卫生管理方面法律、法规、规章规定的行政处罚权。</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（三）行使城市绿化管理方面法律、法规、规章规定的行政处罚权。</w:t>
      </w:r>
    </w:p>
    <w:p>
      <w:pPr>
        <w:spacing w:line="84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(四）行使市政管理方面法律法规、规章规定的行政处罚权，负责市政设施的维护及维修。</w:t>
      </w:r>
    </w:p>
    <w:p>
      <w:pPr>
        <w:spacing w:line="84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（五）行使环境保护管理方面的法律、法规、规章规定的对下列违法行为的行政处罚权：</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1、在人口集中地区焚烧有害烟尘和恶臭气体的物质的；</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2、城市饮食服务业的经营者未采取有效污染防治措施，致使排放的油烟对附近居民环境造成污</w:t>
      </w:r>
    </w:p>
    <w:p>
      <w:pPr>
        <w:spacing w:line="840" w:lineRule="exact"/>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染的；</w:t>
      </w:r>
    </w:p>
    <w:p>
      <w:pPr>
        <w:numPr>
          <w:ilvl w:val="0"/>
          <w:numId w:val="2"/>
        </w:num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不按规定驻贮存、运输、处置城市生活垃圾的；</w:t>
      </w:r>
    </w:p>
    <w:p>
      <w:pPr>
        <w:numPr>
          <w:ilvl w:val="0"/>
          <w:numId w:val="0"/>
        </w:num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4、未按规定随意堆放、倾倒工业固体废物的；</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5、施工单位不及时清运、处置建筑垃圾的，运输过程中泄露、遗撒固体废物的。</w:t>
      </w:r>
    </w:p>
    <w:p>
      <w:pPr>
        <w:spacing w:line="84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（六）行使公安交通管理方面法律、法规、规章规定的对侵占人行道和公共广场的行政处罚权</w:t>
      </w:r>
    </w:p>
    <w:p>
      <w:pPr>
        <w:spacing w:line="84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（七）负责县城域建设性、经营性临时占道工程渣土、户外广告的管理工作。督促相关部门做</w:t>
      </w:r>
    </w:p>
    <w:p>
      <w:pPr>
        <w:spacing w:line="840" w:lineRule="exact"/>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好拆迁现场和施工现场的文明施工管理；检查、督促全县城的门前“三包”工作。</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（八）负责县城城区防汛排水工作。</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（九）承办东乡县委县政府交办的其他事项。</w:t>
      </w:r>
    </w:p>
    <w:p>
      <w:pPr>
        <w:spacing w:line="840"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rPr>
        <w:t>二、机构设置</w:t>
      </w:r>
    </w:p>
    <w:p>
      <w:pPr>
        <w:spacing w:line="840" w:lineRule="exact"/>
        <w:ind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办公室、市场管理股、市政设施维修股、环卫股</w:t>
      </w: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840" w:lineRule="exact"/>
        <w:jc w:val="both"/>
        <w:rPr>
          <w:rFonts w:ascii="仿宋_GB2312" w:hAnsi="黑体" w:eastAsia="仿宋_GB2312"/>
          <w:b/>
          <w:sz w:val="52"/>
          <w:szCs w:val="52"/>
          <w:highlight w:val="none"/>
        </w:rPr>
      </w:pPr>
    </w:p>
    <w:p>
      <w:pPr>
        <w:spacing w:line="840" w:lineRule="exact"/>
        <w:jc w:val="both"/>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lang w:val="en-US" w:eastAsia="zh-CN"/>
        </w:rPr>
        <w:t>62627009.11</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val="en-US" w:eastAsia="zh-CN"/>
        </w:rPr>
        <w:t>增加40217804.11</w:t>
      </w:r>
      <w:r>
        <w:rPr>
          <w:rFonts w:hint="eastAsia" w:ascii="仿宋_GB2312" w:hAnsi="黑体" w:eastAsia="仿宋_GB2312"/>
          <w:sz w:val="32"/>
          <w:szCs w:val="32"/>
          <w:highlight w:val="none"/>
        </w:rPr>
        <w:t>元，其中：一般公共预算财政拨款收入</w:t>
      </w:r>
      <w:r>
        <w:rPr>
          <w:rFonts w:hint="eastAsia" w:ascii="仿宋_GB2312" w:hAnsi="黑体" w:eastAsia="仿宋_GB2312"/>
          <w:sz w:val="32"/>
          <w:szCs w:val="32"/>
          <w:highlight w:val="none"/>
          <w:lang w:val="en-US" w:eastAsia="zh-CN"/>
        </w:rPr>
        <w:t>62627009.11</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，上年结转</w:t>
      </w:r>
      <w:r>
        <w:rPr>
          <w:rFonts w:hint="eastAsia" w:ascii="仿宋_GB2312" w:hAnsi="宋体" w:eastAsia="仿宋_GB2312"/>
          <w:sz w:val="32"/>
          <w:szCs w:val="32"/>
          <w:highlight w:val="none"/>
          <w:lang w:val="en-US" w:eastAsia="zh-CN"/>
        </w:rPr>
        <w:t>0元</w:t>
      </w:r>
      <w:r>
        <w:rPr>
          <w:rFonts w:hint="eastAsia" w:ascii="仿宋_GB2312" w:hAnsi="宋体" w:eastAsia="仿宋_GB2312"/>
          <w:sz w:val="32"/>
          <w:szCs w:val="32"/>
          <w:highlight w:val="none"/>
        </w:rPr>
        <w:t>。预算支出</w:t>
      </w:r>
      <w:r>
        <w:rPr>
          <w:rFonts w:hint="eastAsia" w:ascii="仿宋_GB2312" w:hAnsi="黑体" w:eastAsia="仿宋_GB2312"/>
          <w:sz w:val="32"/>
          <w:szCs w:val="32"/>
          <w:highlight w:val="none"/>
          <w:lang w:val="en-US" w:eastAsia="zh-CN"/>
        </w:rPr>
        <w:t>62627009.11</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179.47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增加了城市维护及建设资金及给排水等各类项目资金。</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lang w:val="en-US" w:eastAsia="zh-CN"/>
        </w:rPr>
        <w:t>116154.72</w:t>
      </w:r>
      <w:r>
        <w:rPr>
          <w:rFonts w:hint="eastAsia" w:ascii="仿宋_GB2312" w:hAnsi="宋体" w:eastAsia="仿宋_GB2312"/>
          <w:sz w:val="32"/>
          <w:szCs w:val="32"/>
          <w:highlight w:val="none"/>
        </w:rPr>
        <w:t>元，比上年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50.70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，主要原因是：人员变动</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lang w:val="en-US" w:eastAsia="zh-CN"/>
        </w:rPr>
        <w:t>940853.23</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1125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eastAsia="zh-CN"/>
        </w:rPr>
        <w:t>主要原因是增加了</w:t>
      </w:r>
      <w:r>
        <w:rPr>
          <w:rFonts w:hint="eastAsia" w:ascii="仿宋_GB2312" w:hAnsi="宋体" w:eastAsia="仿宋_GB2312"/>
          <w:sz w:val="32"/>
          <w:szCs w:val="32"/>
          <w:highlight w:val="none"/>
          <w:lang w:val="en-US" w:eastAsia="zh-CN"/>
        </w:rPr>
        <w:t>单位基本养老保险、财政对工伤保险基金的补助资金。</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卫生健康支出386682.84元，</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，主要原因是：上年没有单独预算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城乡社区支出60486390.00元，</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171.8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，主要原因是增加了</w:t>
      </w:r>
      <w:r>
        <w:rPr>
          <w:rFonts w:hint="eastAsia" w:ascii="仿宋_GB2312" w:hAnsi="黑体" w:eastAsia="仿宋_GB2312"/>
          <w:sz w:val="32"/>
          <w:szCs w:val="32"/>
          <w:highlight w:val="none"/>
          <w:lang w:val="en-US" w:eastAsia="zh-CN"/>
        </w:rPr>
        <w:t>城市维护及建设资金及给排水等各类项目资金。</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住房保障支出696928.32元，</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，主要原因是：上年没有单独预算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支出按部门预算经济分类科目安排为：</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工资福利支出9827209.11元，</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32.39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，主要原因是增加了</w:t>
      </w:r>
      <w:r>
        <w:rPr>
          <w:rFonts w:hint="eastAsia" w:ascii="仿宋_GB2312" w:hAnsi="黑体" w:eastAsia="仿宋_GB2312"/>
          <w:sz w:val="32"/>
          <w:szCs w:val="32"/>
          <w:highlight w:val="none"/>
          <w:lang w:val="en-US" w:eastAsia="zh-CN"/>
        </w:rPr>
        <w:t>绩效工资、单位基本养老保险、医疗保险、住房公积金及其他工资福利支出资金。商品和服务支出129000元，</w:t>
      </w:r>
      <w:r>
        <w:rPr>
          <w:rFonts w:hint="eastAsia" w:ascii="仿宋_GB2312" w:hAnsi="宋体" w:eastAsia="仿宋_GB2312"/>
          <w:sz w:val="32"/>
          <w:szCs w:val="32"/>
          <w:highlight w:val="none"/>
        </w:rPr>
        <w:t>比上年</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524.88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，主要原因是增加了</w:t>
      </w:r>
      <w:r>
        <w:rPr>
          <w:rFonts w:hint="eastAsia" w:ascii="仿宋_GB2312" w:hAnsi="黑体" w:eastAsia="仿宋_GB2312"/>
          <w:sz w:val="32"/>
          <w:szCs w:val="32"/>
          <w:highlight w:val="none"/>
          <w:lang w:val="en-US" w:eastAsia="zh-CN"/>
        </w:rPr>
        <w:t>人员经费及专项资金。</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楷体_GB2312" w:hAnsi="黑体" w:eastAsia="楷体_GB2312"/>
          <w:b/>
          <w:sz w:val="32"/>
          <w:szCs w:val="32"/>
          <w:highlight w:val="none"/>
        </w:rPr>
        <w:t>（一）一般公共服务支出（类）</w:t>
      </w:r>
      <w:r>
        <w:rPr>
          <w:rFonts w:hint="eastAsia" w:ascii="仿宋_GB2312" w:hAnsi="黑体" w:eastAsia="仿宋_GB2312"/>
          <w:sz w:val="32"/>
          <w:szCs w:val="32"/>
          <w:highlight w:val="none"/>
          <w:lang w:val="en-US"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116154.72</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50.70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其中：工会事务</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116154.72</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50.70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，主要原因是：人员变动</w:t>
      </w:r>
      <w:r>
        <w:rPr>
          <w:rFonts w:hint="eastAsia" w:ascii="仿宋_GB2312" w:hAnsi="宋体" w:eastAsia="仿宋_GB2312"/>
          <w:sz w:val="32"/>
          <w:szCs w:val="32"/>
          <w:highlight w:val="none"/>
        </w:rPr>
        <w:t>。</w:t>
      </w:r>
    </w:p>
    <w:p>
      <w:pPr>
        <w:spacing w:line="640" w:lineRule="exact"/>
        <w:ind w:firstLine="643" w:firstLineChars="200"/>
        <w:rPr>
          <w:rFonts w:hint="eastAsia" w:ascii="仿宋_GB2312" w:hAnsi="黑体" w:eastAsia="仿宋_GB2312"/>
          <w:b/>
          <w:bCs w:val="0"/>
          <w:sz w:val="32"/>
          <w:szCs w:val="32"/>
          <w:highlight w:val="none"/>
          <w:lang w:eastAsia="zh-CN"/>
        </w:rPr>
      </w:pPr>
      <w:r>
        <w:rPr>
          <w:rFonts w:hint="eastAsia" w:ascii="仿宋_GB2312" w:hAnsi="黑体" w:eastAsia="仿宋_GB2312"/>
          <w:b/>
          <w:bCs w:val="0"/>
          <w:sz w:val="32"/>
          <w:szCs w:val="32"/>
          <w:highlight w:val="none"/>
        </w:rPr>
        <w:t>（二）社会保障和就业支出</w:t>
      </w:r>
      <w:r>
        <w:rPr>
          <w:rFonts w:hint="eastAsia" w:ascii="楷体_GB2312" w:hAnsi="黑体" w:eastAsia="楷体_GB2312"/>
          <w:b/>
          <w:sz w:val="32"/>
          <w:szCs w:val="32"/>
          <w:highlight w:val="none"/>
        </w:rPr>
        <w:t>（类）</w:t>
      </w:r>
      <w:r>
        <w:rPr>
          <w:rFonts w:hint="eastAsia" w:ascii="楷体_GB2312" w:hAnsi="黑体" w:eastAsia="楷体_GB2312"/>
          <w:b w:val="0"/>
          <w:bCs/>
          <w:sz w:val="32"/>
          <w:szCs w:val="32"/>
          <w:highlight w:val="none"/>
        </w:rPr>
        <w:t>行政事业单位养老支出</w:t>
      </w:r>
      <w:r>
        <w:rPr>
          <w:rFonts w:hint="eastAsia" w:ascii="楷体_GB2312" w:hAnsi="黑体" w:eastAsia="楷体_GB2312"/>
          <w:b/>
          <w:sz w:val="32"/>
          <w:szCs w:val="32"/>
          <w:highlight w:val="none"/>
        </w:rPr>
        <w:t>（款）</w:t>
      </w:r>
      <w:r>
        <w:rPr>
          <w:rFonts w:hint="eastAsia" w:ascii="楷体_GB2312" w:hAnsi="黑体" w:eastAsia="楷体_GB2312"/>
          <w:b w:val="0"/>
          <w:bCs/>
          <w:sz w:val="32"/>
          <w:szCs w:val="32"/>
          <w:highlight w:val="none"/>
        </w:rPr>
        <w:t>财政对其他社会保险基金的补助</w:t>
      </w:r>
      <w:r>
        <w:rPr>
          <w:rFonts w:hint="eastAsia" w:ascii="楷体_GB2312" w:hAnsi="黑体" w:eastAsia="楷体_GB2312"/>
          <w:b/>
          <w:sz w:val="32"/>
          <w:szCs w:val="32"/>
          <w:highlight w:val="none"/>
        </w:rPr>
        <w:t>（款）</w:t>
      </w:r>
      <w:r>
        <w:rPr>
          <w:rFonts w:hint="eastAsia" w:ascii="仿宋_GB2312" w:hAnsi="黑体" w:eastAsia="仿宋_GB2312"/>
          <w:b w:val="0"/>
          <w:bCs/>
          <w:sz w:val="32"/>
          <w:szCs w:val="32"/>
          <w:highlight w:val="none"/>
        </w:rPr>
        <w:t>2022年预算支出</w:t>
      </w:r>
      <w:r>
        <w:rPr>
          <w:rFonts w:hint="eastAsia" w:ascii="仿宋_GB2312" w:hAnsi="黑体" w:eastAsia="仿宋_GB2312"/>
          <w:b w:val="0"/>
          <w:bCs/>
          <w:sz w:val="32"/>
          <w:szCs w:val="32"/>
          <w:highlight w:val="none"/>
          <w:lang w:val="en-US" w:eastAsia="zh-CN"/>
        </w:rPr>
        <w:t>940853.23</w:t>
      </w:r>
      <w:r>
        <w:rPr>
          <w:rFonts w:hint="eastAsia" w:ascii="仿宋_GB2312" w:hAnsi="黑体" w:eastAsia="仿宋_GB2312"/>
          <w:b w:val="0"/>
          <w:bCs/>
          <w:sz w:val="32"/>
          <w:szCs w:val="32"/>
          <w:highlight w:val="none"/>
        </w:rPr>
        <w:t>元，比上年</w:t>
      </w:r>
      <w:r>
        <w:rPr>
          <w:rFonts w:hint="eastAsia" w:ascii="仿宋_GB2312" w:hAnsi="宋体" w:eastAsia="仿宋_GB2312"/>
          <w:b w:val="0"/>
          <w:bCs/>
          <w:sz w:val="32"/>
          <w:szCs w:val="32"/>
          <w:highlight w:val="none"/>
          <w:lang w:val="en-US" w:eastAsia="zh-CN"/>
        </w:rPr>
        <w:t>增加</w:t>
      </w:r>
      <w:r>
        <w:rPr>
          <w:rFonts w:hint="eastAsia" w:ascii="仿宋_GB2312" w:hAnsi="黑体" w:eastAsia="仿宋_GB2312"/>
          <w:sz w:val="32"/>
          <w:szCs w:val="32"/>
          <w:highlight w:val="none"/>
          <w:lang w:val="en-US" w:eastAsia="zh-CN"/>
        </w:rPr>
        <w:t>1125</w:t>
      </w:r>
      <w:r>
        <w:rPr>
          <w:rFonts w:hint="eastAsia" w:ascii="仿宋_GB2312" w:hAnsi="宋体" w:eastAsia="仿宋_GB2312"/>
          <w:sz w:val="32"/>
          <w:szCs w:val="32"/>
          <w:highlight w:val="none"/>
        </w:rPr>
        <w:t>%</w:t>
      </w:r>
      <w:r>
        <w:rPr>
          <w:rFonts w:hint="eastAsia" w:ascii="仿宋_GB2312" w:hAnsi="黑体" w:eastAsia="仿宋_GB2312"/>
          <w:b w:val="0"/>
          <w:bCs/>
          <w:sz w:val="32"/>
          <w:szCs w:val="32"/>
          <w:highlight w:val="none"/>
        </w:rPr>
        <w:t>。</w:t>
      </w:r>
      <w:r>
        <w:rPr>
          <w:rFonts w:hint="eastAsia" w:ascii="仿宋_GB2312" w:hAnsi="黑体" w:eastAsia="仿宋_GB2312"/>
          <w:sz w:val="32"/>
          <w:szCs w:val="32"/>
          <w:highlight w:val="none"/>
          <w:lang w:eastAsia="zh-CN"/>
        </w:rPr>
        <w:t>其中：机关事业单位基本养老保险缴费支出</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929237.76</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b w:val="0"/>
          <w:bCs/>
          <w:sz w:val="32"/>
          <w:szCs w:val="32"/>
          <w:highlight w:val="none"/>
        </w:rPr>
        <w:t>比上年</w:t>
      </w:r>
      <w:r>
        <w:rPr>
          <w:rFonts w:hint="eastAsia" w:ascii="仿宋_GB2312" w:hAnsi="宋体" w:eastAsia="仿宋_GB2312"/>
          <w:b w:val="0"/>
          <w:bCs/>
          <w:sz w:val="32"/>
          <w:szCs w:val="32"/>
          <w:highlight w:val="none"/>
          <w:lang w:val="en-US" w:eastAsia="zh-CN"/>
        </w:rPr>
        <w:t>增加</w:t>
      </w:r>
      <w:r>
        <w:rPr>
          <w:rFonts w:hint="eastAsia" w:ascii="仿宋_GB2312" w:hAnsi="黑体" w:eastAsia="仿宋_GB2312"/>
          <w:sz w:val="32"/>
          <w:szCs w:val="32"/>
          <w:highlight w:val="none"/>
          <w:lang w:val="en-US" w:eastAsia="zh-CN"/>
        </w:rPr>
        <w:t>0.89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财政对工伤保险基金的补助</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11615.47</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b w:val="0"/>
          <w:bCs/>
          <w:sz w:val="32"/>
          <w:szCs w:val="32"/>
          <w:highlight w:val="none"/>
        </w:rPr>
        <w:t>比上年</w:t>
      </w:r>
      <w:r>
        <w:rPr>
          <w:rFonts w:hint="eastAsia" w:ascii="仿宋_GB2312" w:hAnsi="宋体" w:eastAsia="仿宋_GB2312"/>
          <w:b w:val="0"/>
          <w:bCs/>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主要原因是</w:t>
      </w:r>
      <w:r>
        <w:rPr>
          <w:rFonts w:hint="eastAsia" w:ascii="仿宋_GB2312" w:hAnsi="宋体" w:eastAsia="仿宋_GB2312"/>
          <w:sz w:val="32"/>
          <w:szCs w:val="32"/>
          <w:highlight w:val="none"/>
          <w:lang w:eastAsia="zh-CN"/>
        </w:rPr>
        <w:t>增加了</w:t>
      </w:r>
      <w:r>
        <w:rPr>
          <w:rFonts w:hint="eastAsia" w:ascii="仿宋_GB2312" w:hAnsi="黑体" w:eastAsia="仿宋_GB2312"/>
          <w:sz w:val="32"/>
          <w:szCs w:val="32"/>
          <w:highlight w:val="none"/>
          <w:lang w:eastAsia="zh-CN"/>
        </w:rPr>
        <w:t>单位基本养老保险及财政对工伤保险基金的补助资金。</w:t>
      </w:r>
    </w:p>
    <w:p>
      <w:pPr>
        <w:spacing w:line="640" w:lineRule="exact"/>
        <w:ind w:firstLine="643" w:firstLineChars="200"/>
        <w:rPr>
          <w:rFonts w:hint="eastAsia" w:ascii="仿宋_GB2312" w:hAnsi="宋体" w:eastAsia="仿宋_GB2312"/>
          <w:sz w:val="32"/>
          <w:szCs w:val="32"/>
          <w:highlight w:val="none"/>
          <w:lang w:eastAsia="zh-CN"/>
        </w:rPr>
      </w:pP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三</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rPr>
        <w:t>城乡社区支出</w:t>
      </w:r>
      <w:r>
        <w:rPr>
          <w:rFonts w:hint="eastAsia" w:ascii="楷体_GB2312" w:hAnsi="黑体" w:eastAsia="楷体_GB2312"/>
          <w:b/>
          <w:sz w:val="32"/>
          <w:szCs w:val="32"/>
          <w:highlight w:val="none"/>
        </w:rPr>
        <w:t>（类）</w:t>
      </w:r>
      <w:r>
        <w:rPr>
          <w:rFonts w:hint="eastAsia" w:ascii="楷体_GB2312" w:hAnsi="黑体" w:eastAsia="楷体_GB2312"/>
          <w:b/>
          <w:bCs w:val="0"/>
          <w:sz w:val="32"/>
          <w:szCs w:val="32"/>
          <w:highlight w:val="none"/>
        </w:rPr>
        <w:t>城乡社区管理事务（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60486390.00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171.8</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其中：行政运行</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8415590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b w:val="0"/>
          <w:bCs/>
          <w:sz w:val="32"/>
          <w:szCs w:val="32"/>
          <w:highlight w:val="none"/>
        </w:rPr>
        <w:t>比上年</w:t>
      </w:r>
      <w:r>
        <w:rPr>
          <w:rFonts w:hint="eastAsia" w:ascii="仿宋_GB2312" w:hAnsi="宋体" w:eastAsia="仿宋_GB2312"/>
          <w:b w:val="0"/>
          <w:bCs/>
          <w:sz w:val="32"/>
          <w:szCs w:val="32"/>
          <w:highlight w:val="none"/>
          <w:lang w:val="en-US" w:eastAsia="zh-CN"/>
        </w:rPr>
        <w:t>减少</w:t>
      </w:r>
      <w:r>
        <w:rPr>
          <w:rFonts w:hint="eastAsia" w:ascii="仿宋_GB2312" w:hAnsi="黑体" w:eastAsia="仿宋_GB2312"/>
          <w:sz w:val="32"/>
          <w:szCs w:val="32"/>
          <w:highlight w:val="none"/>
          <w:lang w:val="en-US" w:eastAsia="zh-CN"/>
        </w:rPr>
        <w:t>62.19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，主要原因是减少了行政运行方面的资金；城管执法</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20070800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，主要原因是增加了单位城管执法方面的经费资金；其他城乡社区管理事务支出</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32000000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，主要原因是增加了给排水管网工程资金。</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宋体" w:eastAsia="仿宋_GB2312"/>
          <w:b/>
          <w:bCs/>
          <w:sz w:val="32"/>
          <w:szCs w:val="32"/>
          <w:highlight w:val="none"/>
          <w:lang w:eastAsia="zh-CN"/>
        </w:rPr>
        <w:t>（四）卫生健康支出（类）财政对基本医疗保险基金的补助务（款）</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年预算支出386682.84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。财政对职工基本医疗保险基金的补助</w:t>
      </w:r>
      <w:r>
        <w:rPr>
          <w:rFonts w:hint="eastAsia" w:ascii="仿宋_GB2312" w:hAnsi="宋体" w:eastAsia="仿宋_GB2312"/>
          <w:sz w:val="32"/>
          <w:szCs w:val="32"/>
          <w:highlight w:val="none"/>
          <w:lang w:val="en-US" w:eastAsia="zh-CN"/>
        </w:rPr>
        <w:t>(项）</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年预算支出386682.84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。主要原因：上年没有单独预算</w:t>
      </w:r>
      <w:r>
        <w:rPr>
          <w:rFonts w:hint="eastAsia" w:ascii="仿宋_GB2312" w:hAnsi="黑体" w:eastAsia="仿宋_GB2312"/>
          <w:sz w:val="32"/>
          <w:szCs w:val="32"/>
          <w:highlight w:val="none"/>
          <w:lang w:val="en-US" w:eastAsia="zh-CN"/>
        </w:rPr>
        <w:t>。</w:t>
      </w:r>
    </w:p>
    <w:p>
      <w:pPr>
        <w:spacing w:line="640" w:lineRule="exact"/>
        <w:ind w:firstLine="643" w:firstLineChars="200"/>
        <w:rPr>
          <w:rFonts w:hint="eastAsia" w:ascii="仿宋_GB2312" w:hAnsi="宋体" w:eastAsia="仿宋_GB2312"/>
          <w:b/>
          <w:bCs/>
          <w:sz w:val="32"/>
          <w:szCs w:val="32"/>
          <w:highlight w:val="none"/>
          <w:lang w:val="en-US" w:eastAsia="zh-CN"/>
        </w:rPr>
      </w:pPr>
    </w:p>
    <w:p>
      <w:p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bCs/>
          <w:sz w:val="32"/>
          <w:szCs w:val="32"/>
          <w:highlight w:val="none"/>
          <w:lang w:eastAsia="zh-CN"/>
        </w:rPr>
        <w:t>（五）住房保障支出</w:t>
      </w:r>
      <w:r>
        <w:rPr>
          <w:rFonts w:hint="eastAsia" w:ascii="楷体_GB2312" w:hAnsi="黑体" w:eastAsia="楷体_GB2312"/>
          <w:b/>
          <w:sz w:val="32"/>
          <w:szCs w:val="32"/>
          <w:highlight w:val="none"/>
        </w:rPr>
        <w:t>（类）住房改革支出（款）</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eastAsia="zh-CN"/>
        </w:rPr>
        <w:t>696928.32元，</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其中：住房公积金</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eastAsia="zh-CN"/>
        </w:rPr>
        <w:t>项</w:t>
      </w:r>
      <w:r>
        <w:rPr>
          <w:rFonts w:hint="eastAsia" w:ascii="楷体_GB2312" w:hAnsi="黑体" w:eastAsia="楷体_GB2312"/>
          <w:b/>
          <w:sz w:val="32"/>
          <w:szCs w:val="32"/>
          <w:highlight w:val="none"/>
        </w:rPr>
        <w:t>）</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eastAsia="zh-CN"/>
        </w:rPr>
        <w:t>696928.32元，</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，主要原因：上年没有单独预算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b w:val="0"/>
          <w:bCs w:val="0"/>
          <w:highlight w:val="none"/>
        </w:rPr>
      </w:pPr>
      <w:r>
        <w:rPr>
          <w:rFonts w:hint="eastAsia" w:ascii="仿宋_GB2312" w:hAnsi="黑体" w:eastAsia="仿宋_GB2312"/>
          <w:b w:val="0"/>
          <w:bCs w:val="0"/>
          <w:sz w:val="32"/>
          <w:szCs w:val="32"/>
          <w:highlight w:val="none"/>
        </w:rPr>
        <w:t>2022年一般公共预算基本支出</w:t>
      </w:r>
      <w:r>
        <w:rPr>
          <w:rFonts w:hint="eastAsia" w:ascii="仿宋_GB2312" w:hAnsi="黑体" w:eastAsia="仿宋_GB2312"/>
          <w:b w:val="0"/>
          <w:bCs w:val="0"/>
          <w:sz w:val="32"/>
          <w:szCs w:val="32"/>
          <w:highlight w:val="none"/>
          <w:lang w:val="en-US" w:eastAsia="zh-CN"/>
        </w:rPr>
        <w:t>9956209.11</w:t>
      </w:r>
      <w:r>
        <w:rPr>
          <w:rFonts w:hint="eastAsia" w:ascii="仿宋_GB2312" w:hAnsi="黑体" w:eastAsia="仿宋_GB2312"/>
          <w:b w:val="0"/>
          <w:bCs w:val="0"/>
          <w:sz w:val="32"/>
          <w:szCs w:val="32"/>
          <w:highlight w:val="none"/>
        </w:rPr>
        <w:t>元，其中：人员经费9827209.11元，单位运转经费</w:t>
      </w:r>
      <w:r>
        <w:rPr>
          <w:rFonts w:hint="eastAsia" w:ascii="仿宋_GB2312" w:hAnsi="黑体" w:eastAsia="仿宋_GB2312"/>
          <w:b w:val="0"/>
          <w:bCs w:val="0"/>
          <w:sz w:val="32"/>
          <w:szCs w:val="32"/>
          <w:highlight w:val="none"/>
          <w:lang w:val="en-US" w:eastAsia="zh-CN"/>
        </w:rPr>
        <w:t>129000</w:t>
      </w:r>
      <w:r>
        <w:rPr>
          <w:rFonts w:hint="eastAsia" w:ascii="仿宋_GB2312" w:hAnsi="黑体" w:eastAsia="仿宋_GB2312"/>
          <w:b w:val="0"/>
          <w:bCs w:val="0"/>
          <w:sz w:val="32"/>
          <w:szCs w:val="32"/>
          <w:highlight w:val="none"/>
        </w:rPr>
        <w:t>元，专项资金</w:t>
      </w:r>
      <w:r>
        <w:rPr>
          <w:rFonts w:hint="eastAsia" w:ascii="仿宋_GB2312" w:hAnsi="黑体" w:eastAsia="仿宋_GB2312"/>
          <w:b w:val="0"/>
          <w:bCs w:val="0"/>
          <w:sz w:val="32"/>
          <w:szCs w:val="32"/>
          <w:highlight w:val="none"/>
          <w:lang w:val="en-US" w:eastAsia="zh-CN"/>
        </w:rPr>
        <w:t>0</w:t>
      </w:r>
      <w:r>
        <w:rPr>
          <w:rFonts w:hint="eastAsia" w:ascii="仿宋_GB2312" w:hAnsi="黑体" w:eastAsia="仿宋_GB2312"/>
          <w:b w:val="0"/>
          <w:bCs w:val="0"/>
          <w:sz w:val="32"/>
          <w:szCs w:val="32"/>
          <w:highlight w:val="none"/>
        </w:rPr>
        <w:t>元，比上年预算数</w:t>
      </w:r>
      <w:r>
        <w:rPr>
          <w:rFonts w:hint="eastAsia" w:ascii="仿宋_GB2312" w:hAnsi="宋体" w:eastAsia="仿宋_GB2312"/>
          <w:b w:val="0"/>
          <w:bCs w:val="0"/>
          <w:sz w:val="32"/>
          <w:szCs w:val="32"/>
          <w:highlight w:val="none"/>
          <w:lang w:eastAsia="zh-CN"/>
        </w:rPr>
        <w:t>增加</w:t>
      </w:r>
      <w:r>
        <w:rPr>
          <w:rFonts w:hint="eastAsia" w:ascii="仿宋_GB2312" w:hAnsi="宋体" w:eastAsia="仿宋_GB2312"/>
          <w:b w:val="0"/>
          <w:bCs w:val="0"/>
          <w:sz w:val="32"/>
          <w:szCs w:val="32"/>
          <w:highlight w:val="none"/>
          <w:lang w:val="en-US" w:eastAsia="zh-CN"/>
        </w:rPr>
        <w:t>21</w:t>
      </w:r>
      <w:r>
        <w:rPr>
          <w:rFonts w:hint="eastAsia" w:ascii="仿宋_GB2312" w:hAnsi="宋体" w:eastAsia="仿宋_GB2312"/>
          <w:b w:val="0"/>
          <w:bCs w:val="0"/>
          <w:sz w:val="32"/>
          <w:szCs w:val="32"/>
          <w:highlight w:val="none"/>
        </w:rPr>
        <w:t>%</w:t>
      </w:r>
      <w:r>
        <w:rPr>
          <w:rFonts w:hint="eastAsia" w:ascii="仿宋_GB2312" w:hAnsi="宋体" w:eastAsia="仿宋_GB2312"/>
          <w:b w:val="0"/>
          <w:bCs w:val="0"/>
          <w:sz w:val="32"/>
          <w:szCs w:val="32"/>
          <w:highlight w:val="none"/>
          <w:lang w:eastAsia="zh-CN"/>
        </w:rPr>
        <w:t>，主要原因是</w:t>
      </w:r>
      <w:r>
        <w:rPr>
          <w:rFonts w:hint="eastAsia" w:ascii="仿宋_GB2312" w:hAnsi="黑体" w:eastAsia="仿宋_GB2312"/>
          <w:sz w:val="32"/>
          <w:szCs w:val="32"/>
          <w:highlight w:val="none"/>
          <w:lang w:val="en-US" w:eastAsia="zh-CN"/>
        </w:rPr>
        <w:t>增加了城市维护及建设资金及给排水等各类项目资金、单位养老、医疗、公积金等人员类经费资金</w:t>
      </w:r>
      <w:r>
        <w:rPr>
          <w:rFonts w:hint="eastAsia" w:ascii="仿宋_GB2312" w:hAnsi="黑体" w:eastAsia="仿宋_GB2312"/>
          <w:b w:val="0"/>
          <w:bCs w:val="0"/>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四、部门一般公共预算</w:t>
      </w:r>
      <w:r>
        <w:rPr>
          <w:rFonts w:hint="eastAsia" w:ascii="黑体" w:hAnsi="黑体" w:eastAsia="黑体"/>
          <w:sz w:val="32"/>
          <w:szCs w:val="32"/>
          <w:highlight w:val="none"/>
          <w:lang w:eastAsia="zh-CN"/>
        </w:rPr>
        <w:t>项目</w:t>
      </w:r>
      <w:r>
        <w:rPr>
          <w:rFonts w:hint="eastAsia" w:ascii="黑体" w:hAnsi="黑体" w:eastAsia="黑体"/>
          <w:sz w:val="32"/>
          <w:szCs w:val="32"/>
          <w:highlight w:val="none"/>
        </w:rPr>
        <w:t>支出情况说明</w:t>
      </w:r>
    </w:p>
    <w:p>
      <w:pPr>
        <w:ind w:firstLine="640" w:firstLineChars="200"/>
        <w:rPr>
          <w:rFonts w:hint="default" w:ascii="仿宋_GB2312" w:hAnsi="黑体" w:eastAsia="仿宋_GB2312"/>
          <w:b w:val="0"/>
          <w:bCs w:val="0"/>
          <w:sz w:val="32"/>
          <w:szCs w:val="32"/>
          <w:highlight w:val="none"/>
          <w:lang w:val="en-US" w:eastAsia="zh-CN"/>
        </w:rPr>
      </w:pPr>
      <w:r>
        <w:rPr>
          <w:rFonts w:hint="eastAsia" w:ascii="仿宋_GB2312" w:hAnsi="黑体" w:eastAsia="仿宋_GB2312"/>
          <w:b w:val="0"/>
          <w:bCs w:val="0"/>
          <w:sz w:val="32"/>
          <w:szCs w:val="32"/>
          <w:highlight w:val="none"/>
          <w:lang w:val="en-US" w:eastAsia="zh-CN"/>
        </w:rPr>
        <w:t>2022年一般公共预算基本支出52670800元，共涉及32个项目，比上年预算数上升271.44%，主要原因是增加了城市维护及建设资金及给排水等各类项目资金、历年欠账工程资金。</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算0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bookmarkStart w:id="0" w:name="_GoBack"/>
      <w:bookmarkEnd w:id="0"/>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129000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较上年无变化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33500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减少26500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减少44.2</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减少相应的办公耗材使用量</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33500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7CA8B9D9"/>
    <w:multiLevelType w:val="singleLevel"/>
    <w:tmpl w:val="7CA8B9D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A822DFA"/>
    <w:rsid w:val="0B896034"/>
    <w:rsid w:val="0C9776E4"/>
    <w:rsid w:val="0D824E94"/>
    <w:rsid w:val="0E6F37D9"/>
    <w:rsid w:val="112936A0"/>
    <w:rsid w:val="1250416D"/>
    <w:rsid w:val="127453A4"/>
    <w:rsid w:val="13B82E0D"/>
    <w:rsid w:val="141D039C"/>
    <w:rsid w:val="156F3F5C"/>
    <w:rsid w:val="17432B85"/>
    <w:rsid w:val="1909264A"/>
    <w:rsid w:val="198119BE"/>
    <w:rsid w:val="1B78482C"/>
    <w:rsid w:val="1BE07EC4"/>
    <w:rsid w:val="1C6D1D31"/>
    <w:rsid w:val="1D654F62"/>
    <w:rsid w:val="204B1966"/>
    <w:rsid w:val="205A7194"/>
    <w:rsid w:val="210F4887"/>
    <w:rsid w:val="22273516"/>
    <w:rsid w:val="2233056C"/>
    <w:rsid w:val="23513756"/>
    <w:rsid w:val="235C7C61"/>
    <w:rsid w:val="24BD2A9A"/>
    <w:rsid w:val="250F1490"/>
    <w:rsid w:val="27A72E58"/>
    <w:rsid w:val="29013B6E"/>
    <w:rsid w:val="292A0545"/>
    <w:rsid w:val="2B26350E"/>
    <w:rsid w:val="2B5C1C56"/>
    <w:rsid w:val="2BCF3D4E"/>
    <w:rsid w:val="2D550DF7"/>
    <w:rsid w:val="2DBA0562"/>
    <w:rsid w:val="31352995"/>
    <w:rsid w:val="32A96D1A"/>
    <w:rsid w:val="34032DB0"/>
    <w:rsid w:val="34B82D6F"/>
    <w:rsid w:val="34D6169E"/>
    <w:rsid w:val="366C6042"/>
    <w:rsid w:val="373703E1"/>
    <w:rsid w:val="37580FE7"/>
    <w:rsid w:val="37E037CF"/>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4A10A77"/>
    <w:rsid w:val="651520BC"/>
    <w:rsid w:val="65494142"/>
    <w:rsid w:val="660D56B6"/>
    <w:rsid w:val="661A6258"/>
    <w:rsid w:val="6A136FDE"/>
    <w:rsid w:val="6A752B54"/>
    <w:rsid w:val="6EA6456E"/>
    <w:rsid w:val="74517818"/>
    <w:rsid w:val="75840CDB"/>
    <w:rsid w:val="75FA50B5"/>
    <w:rsid w:val="77781E83"/>
    <w:rsid w:val="77E668E7"/>
    <w:rsid w:val="78062181"/>
    <w:rsid w:val="794965D5"/>
    <w:rsid w:val="79D61FC6"/>
    <w:rsid w:val="7CF82ADB"/>
    <w:rsid w:val="7D5F3278"/>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11"/>
    <w:basedOn w:val="8"/>
    <w:qFormat/>
    <w:uiPriority w:val="0"/>
    <w:rPr>
      <w:rFonts w:hint="eastAsia" w:ascii="宋体" w:hAnsi="宋体" w:eastAsia="宋体" w:cs="宋体"/>
      <w:color w:val="000000"/>
      <w:sz w:val="12"/>
      <w:szCs w:val="12"/>
      <w:u w:val="none"/>
    </w:rPr>
  </w:style>
  <w:style w:type="character" w:customStyle="1" w:styleId="13">
    <w:name w:val="font51"/>
    <w:basedOn w:val="8"/>
    <w:qFormat/>
    <w:uiPriority w:val="0"/>
    <w:rPr>
      <w:rFonts w:hint="default" w:ascii="Calibri" w:hAnsi="Calibri" w:cs="Calibri"/>
      <w:color w:val="000000"/>
      <w:sz w:val="12"/>
      <w:szCs w:val="12"/>
      <w:u w:val="none"/>
    </w:rPr>
  </w:style>
  <w:style w:type="character" w:customStyle="1" w:styleId="14">
    <w:name w:val="font61"/>
    <w:basedOn w:val="8"/>
    <w:qFormat/>
    <w:uiPriority w:val="0"/>
    <w:rPr>
      <w:rFonts w:hint="eastAsia" w:ascii="宋体" w:hAnsi="宋体" w:eastAsia="宋体" w:cs="宋体"/>
      <w:color w:val="000000"/>
      <w:sz w:val="12"/>
      <w:szCs w:val="12"/>
      <w:u w:val="none"/>
    </w:rPr>
  </w:style>
  <w:style w:type="character" w:customStyle="1" w:styleId="15">
    <w:name w:val="font41"/>
    <w:basedOn w:val="8"/>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3192</Words>
  <Characters>3646</Characters>
  <Lines>16</Lines>
  <Paragraphs>4</Paragraphs>
  <TotalTime>3</TotalTime>
  <ScaleCrop>false</ScaleCrop>
  <LinksUpToDate>false</LinksUpToDate>
  <CharactersWithSpaces>3700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2022-08-18T01:22:00Z</cp:lastPrinted>
  <dcterms:modified xsi:type="dcterms:W3CDTF">2023-06-08T03:09:11Z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7E45876137D044D99380E7F7F73796D9_13</vt:lpwstr>
  </property>
</Properties>
</file>