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中共东乡族自治县委员会党校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2024年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单位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2024年部门（单位）预算公开表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>
      <w:pPr>
        <w:widowControl/>
        <w:ind w:firstLine="68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4"/>
          <w:szCs w:val="34"/>
          <w:lang w:val="en-US" w:eastAsia="zh-CN"/>
        </w:rPr>
        <w:t xml:space="preserve">（一）宣传和研究马列主义、毛泽东思想、邓小平理论、“三个代表”重要思 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/>
        </w:rPr>
        <w:t xml:space="preserve">想、科学发展观和习近平新时代中国特色社会主义思想、党的路线、方针、政策。（二）围绕党的中心任务和县委、县政府的重大决策部署，对重大理论和现实问题开展教学研究及干部教育，为县委、县政府的决策服务。 （三）根据县委对全县干部队伍建设的要求，会同组织、宣传、统战、政法、纪检等部门制定各类骨干的培训轮训计划，承担新提拔的科级干部、村(社区)书记主任、共青团干部、妇女干部、公务员和县直机关党员、入党积极分子培训轮训任务；承办县委、县政府举办的专题研讨班、培训班；承担全县理论政策宣讲辅导，完成县委、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/>
        </w:rPr>
        <w:t>县政府交办的其它培训、调研任务；承担公务员与一般干部的培训。 （四）会同组织人事部门，对学员在校期间的学习和党性锻炼情况进行考核、考察和评价，提出使用建议。 （五）承办县委、县政府举办的专题研讨班、培训班。 （六）按照国家有关法律法规，开展干部继续教育和培训。 （七）承担全县理论政策宣讲辅导，完成县委、县政府交办的其它培训、调研任务。 （八）职能转变。县委党校应加强、优化、统筹全县培训方面的能力建设。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widowControl/>
        <w:wordWrap/>
        <w:adjustRightInd/>
        <w:snapToGrid/>
        <w:spacing w:line="640" w:lineRule="exact"/>
        <w:ind w:firstLine="680" w:firstLineChars="200"/>
        <w:jc w:val="left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4"/>
          <w:szCs w:val="34"/>
          <w:lang w:val="en-US" w:eastAsia="zh-CN"/>
        </w:rPr>
        <w:t>县委党校属财政全额拨款预算单位，是独立的核算机构，内设综合办公室、教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/>
        </w:rPr>
        <w:t>务培训处、党建理论教研室、科研室、图书资料室，单位实行政府会计制度。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600" w:lineRule="exact"/>
        <w:ind w:firstLine="68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/>
        </w:rPr>
      </w:pPr>
      <w:r>
        <w:rPr>
          <w:rFonts w:ascii="仿宋" w:hAnsi="仿宋" w:eastAsia="仿宋" w:cs="仿宋"/>
          <w:color w:val="000000"/>
          <w:kern w:val="0"/>
          <w:sz w:val="34"/>
          <w:szCs w:val="34"/>
          <w:lang w:val="en-US" w:eastAsia="zh-CN"/>
        </w:rPr>
        <w:t>县委党校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/>
        </w:rPr>
        <w:t>为事业单位。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68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4"/>
          <w:szCs w:val="34"/>
          <w:lang w:val="en-US" w:eastAsia="zh-CN"/>
        </w:rPr>
        <w:t>县委党校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/>
        </w:rPr>
        <w:t>无直属事业单位。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2024年部门收支总预算274.8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万元。按照综合预算的原则，部门所有收入和支出均纳入部门预算管理。收入包括：一般公共预算拨款收入；支出包括：一般公共服务支出、教育支出、社会保障和就业支出、卫生健康支出、住房保障支出。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274.8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万元。包括：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274.8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274.8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</w:rPr>
        <w:t>271.8</w:t>
      </w:r>
      <w:r>
        <w:rPr>
          <w:rStyle w:val="21"/>
          <w:rFonts w:hint="eastAsia" w:ascii="仿宋_GB2312" w:hAnsi="仿宋" w:eastAsia="仿宋_GB2312"/>
          <w:lang w:val="en-US" w:eastAsia="zh-CN"/>
        </w:rPr>
        <w:t>1</w:t>
      </w:r>
      <w:r>
        <w:rPr>
          <w:rStyle w:val="20"/>
          <w:rFonts w:hint="default" w:hAnsi="仿宋"/>
        </w:rPr>
        <w:t>万元， 占</w:t>
      </w:r>
      <w:r>
        <w:rPr>
          <w:rStyle w:val="20"/>
          <w:rFonts w:hint="eastAsia" w:hAnsi="仿宋" w:eastAsia="仿宋_GB2312"/>
          <w:lang w:val="en-US" w:eastAsia="zh-CN"/>
        </w:rPr>
        <w:t>98.91</w:t>
      </w:r>
      <w:r>
        <w:rPr>
          <w:rStyle w:val="21"/>
          <w:rFonts w:hint="eastAsia" w:ascii="仿宋_GB2312" w:hAnsi="仿宋" w:eastAsia="仿宋_GB2312"/>
        </w:rPr>
        <w:t xml:space="preserve"> %</w:t>
      </w:r>
      <w:r>
        <w:rPr>
          <w:rStyle w:val="20"/>
          <w:rFonts w:hint="default" w:hAnsi="仿宋"/>
        </w:rPr>
        <w:t>； 项目支出</w:t>
      </w:r>
      <w:r>
        <w:rPr>
          <w:rStyle w:val="20"/>
          <w:rFonts w:hint="eastAsia" w:hAnsi="仿宋" w:eastAsia="仿宋_GB2312"/>
          <w:lang w:val="en-US" w:eastAsia="zh-CN"/>
        </w:rPr>
        <w:t>3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1.09</w:t>
      </w:r>
      <w:r>
        <w:rPr>
          <w:rStyle w:val="21"/>
          <w:rFonts w:hint="eastAsia" w:ascii="仿宋_GB2312" w:hAnsi="仿宋" w:eastAsia="仿宋_GB2312"/>
        </w:rPr>
        <w:t xml:space="preserve"> %</w:t>
      </w:r>
      <w:r>
        <w:rPr>
          <w:rStyle w:val="20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274.8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</w:rPr>
        <w:t>3.1</w:t>
      </w:r>
      <w:r>
        <w:rPr>
          <w:rStyle w:val="21"/>
          <w:rFonts w:hint="eastAsia" w:ascii="仿宋_GB2312" w:hAnsi="仿宋" w:eastAsia="仿宋_GB2312"/>
          <w:lang w:val="en-US" w:eastAsia="zh-CN"/>
        </w:rPr>
        <w:t>1</w:t>
      </w:r>
      <w:r>
        <w:rPr>
          <w:rStyle w:val="20"/>
          <w:rFonts w:hint="default" w:hAnsi="仿宋"/>
        </w:rPr>
        <w:t>万元、教育支出</w:t>
      </w:r>
      <w:r>
        <w:rPr>
          <w:rStyle w:val="21"/>
          <w:rFonts w:hint="eastAsia" w:ascii="仿宋_GB2312" w:hAnsi="仿宋" w:eastAsia="仿宋_GB2312"/>
        </w:rPr>
        <w:t>213.1</w:t>
      </w:r>
      <w:r>
        <w:rPr>
          <w:rStyle w:val="21"/>
          <w:rFonts w:hint="eastAsia" w:ascii="仿宋_GB2312" w:hAnsi="仿宋" w:eastAsia="仿宋_GB2312"/>
          <w:lang w:val="en-US" w:eastAsia="zh-CN"/>
        </w:rPr>
        <w:t>6</w:t>
      </w:r>
      <w:r>
        <w:rPr>
          <w:rStyle w:val="20"/>
          <w:rFonts w:hint="default" w:hAnsi="仿宋"/>
        </w:rPr>
        <w:t>万元、社会保障和就业支出</w:t>
      </w:r>
      <w:r>
        <w:rPr>
          <w:rStyle w:val="21"/>
          <w:rFonts w:hint="eastAsia" w:ascii="仿宋_GB2312" w:hAnsi="仿宋" w:eastAsia="仿宋_GB2312"/>
        </w:rPr>
        <w:t>25.7</w:t>
      </w:r>
      <w:r>
        <w:rPr>
          <w:rStyle w:val="21"/>
          <w:rFonts w:hint="eastAsia" w:ascii="仿宋_GB2312" w:hAnsi="仿宋" w:eastAsia="仿宋_GB2312"/>
          <w:lang w:val="en-US" w:eastAsia="zh-CN"/>
        </w:rPr>
        <w:t>3</w:t>
      </w:r>
      <w:r>
        <w:rPr>
          <w:rStyle w:val="20"/>
          <w:rFonts w:hint="default" w:hAnsi="仿宋"/>
        </w:rPr>
        <w:t>万元、卫生健康支出</w:t>
      </w:r>
      <w:r>
        <w:rPr>
          <w:rStyle w:val="21"/>
          <w:rFonts w:hint="eastAsia" w:ascii="仿宋_GB2312" w:hAnsi="仿宋" w:eastAsia="仿宋_GB2312"/>
        </w:rPr>
        <w:t>13.7</w:t>
      </w:r>
      <w:r>
        <w:rPr>
          <w:rStyle w:val="21"/>
          <w:rFonts w:hint="eastAsia" w:ascii="仿宋_GB2312" w:hAnsi="仿宋" w:eastAsia="仿宋_GB2312"/>
          <w:lang w:val="en-US" w:eastAsia="zh-CN"/>
        </w:rPr>
        <w:t>5</w:t>
      </w:r>
      <w:r>
        <w:rPr>
          <w:rStyle w:val="20"/>
          <w:rFonts w:hint="default" w:hAnsi="仿宋"/>
        </w:rPr>
        <w:t>万元</w:t>
      </w:r>
      <w:r>
        <w:rPr>
          <w:rStyle w:val="20"/>
          <w:rFonts w:hint="eastAsia" w:hAnsi="仿宋" w:eastAsia="仿宋_GB2312"/>
          <w:lang w:eastAsia="zh-CN"/>
        </w:rPr>
        <w:t>、住房保障支出19.0</w:t>
      </w:r>
      <w:r>
        <w:rPr>
          <w:rStyle w:val="20"/>
          <w:rFonts w:hint="eastAsia" w:hAnsi="仿宋" w:eastAsia="仿宋_GB2312"/>
          <w:lang w:val="en-US" w:eastAsia="zh-CN"/>
        </w:rPr>
        <w:t>6万元</w:t>
      </w:r>
      <w:r>
        <w:rPr>
          <w:rStyle w:val="20"/>
          <w:rFonts w:hint="default" w:hAnsi="仿宋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具体安排情况如下：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Style w:val="21"/>
          <w:rFonts w:hint="eastAsia" w:ascii="仿宋_GB2312" w:hAnsi="仿宋" w:eastAsia="仿宋_GB2312"/>
        </w:rPr>
        <w:t>271.8</w:t>
      </w:r>
      <w:r>
        <w:rPr>
          <w:rStyle w:val="21"/>
          <w:rFonts w:hint="eastAsia" w:ascii="仿宋_GB2312" w:hAnsi="仿宋" w:eastAsia="仿宋_GB231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26.61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10.85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人员工资增加。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其中：人员经费支出250.2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万元，主要包括：基本工资、津贴补贴、奖金、机关事业单位基本养老保险缴费、职工基本医疗保险缴费、公务员医疗补助缴费、其他社会保障缴费、住房公积金。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公用经费支出21.6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万元，主要包括：办公费、印刷费、水费、电费、邮电费、劳务费、工会经费、福利费、其他交通费用。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万元，比2023年预算减少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万元，减少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66.87</w:t>
      </w:r>
      <w:r>
        <w:rPr>
          <w:rFonts w:hint="eastAsia" w:ascii="仿宋_GB2312" w:hAnsi="仿宋" w:eastAsia="仿宋_GB2312"/>
          <w:sz w:val="32"/>
          <w:szCs w:val="32"/>
        </w:rPr>
        <w:t>%，减少的主要原因是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养老金和医疗保险记入基本支出中。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保障运转经费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个，主要是项目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县直机关单位天然气取暖费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spacing w:line="640" w:lineRule="exact"/>
        <w:ind w:firstLine="640" w:firstLineChars="200"/>
        <w:rPr>
          <w:rFonts w:ascii="仿宋_GB2312" w:hAnsi="黑体" w:eastAsia="仿宋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  <w:t>一般公共服务支出（类）群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众团体事务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  <w:t>（款）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工会事务（项）202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数为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3.11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元，比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年预算数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增加0.36万元，增加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13.17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增加的主要原因是：工会经费增加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  <w:t>教育支出（类）进修及培训（款）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干部教育（项）202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数为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213.16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元，比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年预算数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增加19.77万元，增加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10.22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的主要原因是：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人员工资增加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  <w:t>社会保障和就业支出（类）行政事业单位养老支出（款）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 xml:space="preserve"> 机关事业单位基本养老保险缴费支出（项）202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数为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25.4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1万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元，比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年预算数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减少2.13万元，减少7.73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的主要原因是：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人员数减少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  <w:t>社会保障和就业支出（类）财政对其他社会保险基金的补助（款）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 xml:space="preserve"> 财政对工伤保险基金的补助（项）202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数为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0.3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元，比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年预算数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增加0.04万元，增加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13.72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的主要原因是：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人员工资增加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  <w:t>卫生健康支出（类）财政对基本医疗保险基金的补助（款）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财政对职工基本医疗保险基金的补助（项）202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数为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13.7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5万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元，比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年预算数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增加0.21万元，增加1.57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</w:rPr>
        <w:t>的主要原因是：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  <w:lang w:val="en-US" w:eastAsia="zh-CN"/>
        </w:rPr>
        <w:t>人员工资增加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  <w:lang w:eastAsia="zh-CN"/>
        </w:rPr>
        <w:t>住房保障支出（</w:t>
      </w:r>
      <w:r>
        <w:rPr>
          <w:rFonts w:hint="eastAsia" w:ascii="楷体_GB2312" w:hAnsi="黑体" w:eastAsia="楷体_GB2312"/>
          <w:b w:val="0"/>
          <w:bCs/>
          <w:sz w:val="32"/>
          <w:szCs w:val="32"/>
          <w:highlight w:val="none"/>
        </w:rPr>
        <w:t>类）住房改革支出（款）</w:t>
      </w:r>
      <w:r>
        <w:rPr>
          <w:rFonts w:hint="eastAsia" w:ascii="仿宋_GB2312" w:hAnsi="黑体" w:eastAsia="仿宋_GB2312"/>
          <w:b w:val="0"/>
          <w:bCs/>
          <w:sz w:val="32"/>
          <w:szCs w:val="32"/>
          <w:highlight w:val="none"/>
        </w:rPr>
        <w:t>住房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公积金（项）202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年预算支出19.0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6万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元，比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年预算数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增加2.3万元，增加13.72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的主要原因是：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人员工资增加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万元），较2023年预算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机关运行经费10.9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万元，较2023年预算减少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8.36</w:t>
      </w:r>
      <w:r>
        <w:rPr>
          <w:rFonts w:hint="eastAsia" w:ascii="仿宋_GB2312" w:hAnsi="仿宋" w:eastAsia="仿宋_GB2312"/>
          <w:sz w:val="32"/>
          <w:szCs w:val="32"/>
        </w:rPr>
        <w:t>万元，下降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43.22</w:t>
      </w:r>
      <w:r>
        <w:rPr>
          <w:rFonts w:hint="eastAsia" w:ascii="仿宋_GB2312" w:hAnsi="仿宋" w:eastAsia="仿宋_GB2312"/>
          <w:sz w:val="32"/>
          <w:szCs w:val="32"/>
        </w:rPr>
        <w:t>%，下降的主要原因是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公务员及参公人员车补减少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2024年，部门政府采购预算总额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2024年，部门面向中小企业预留政府采购项目预算金额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192.78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2487.91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182.95</w:t>
      </w:r>
      <w:r>
        <w:rPr>
          <w:rFonts w:hint="eastAsia" w:ascii="仿宋_GB2312" w:hAnsi="仿宋" w:eastAsia="仿宋_GB2312"/>
          <w:sz w:val="32"/>
          <w:szCs w:val="32"/>
        </w:rPr>
        <w:t>万元。预算部门（单位）共有公务用车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2024年使用性政府基金预算拨款安排支出0元，未安排预算，政府性政府基金预算支出情况未空表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2024年重点项目预算拨款安排支出0元，未安排预算，项目预算支出情况未空表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2024年使用性管理转移预算拨款安排支出0元，未安排预算，转移性预算支出情况未空表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2024年国有资本经营预算拨款安排支出0元，未安排预算，国有资本经营预算支出情况未空表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绩效时效性较强</w:t>
      </w:r>
      <w:r>
        <w:rPr>
          <w:rFonts w:hint="eastAsia" w:ascii="仿宋_GB2312" w:hAnsi="仿宋" w:eastAsia="仿宋_GB2312"/>
          <w:sz w:val="32"/>
          <w:szCs w:val="32"/>
        </w:rPr>
        <w:t>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个，占本单位项目的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绩效时效性较强</w:t>
      </w:r>
      <w:r>
        <w:rPr>
          <w:rFonts w:hint="eastAsia" w:ascii="仿宋_GB2312" w:hAnsi="仿宋" w:eastAsia="仿宋_GB2312"/>
          <w:sz w:val="32"/>
          <w:szCs w:val="32"/>
        </w:rPr>
        <w:t>。绩效运行监控在部门内部通报整改情况：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项目进度缓慢；绩效管理人员的业务水平不高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%。绩效自评结果随部门决算报送财政和随决算公开情况：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年终完整实现了年初制定的绩效目标，绩效目标执行良好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9.16</w:t>
      </w:r>
      <w:r>
        <w:rPr>
          <w:rFonts w:hint="eastAsia" w:ascii="仿宋_GB2312" w:hAnsi="仿宋" w:eastAsia="仿宋_GB2312"/>
          <w:sz w:val="32"/>
          <w:szCs w:val="32"/>
        </w:rPr>
        <w:t>万元，2024年度减少部门预算项目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单位支出预算的组成部分，是各单位</w:t>
      </w:r>
      <w:bookmarkStart w:id="0" w:name="_GoBack"/>
      <w:bookmarkEnd w:id="0"/>
      <w:r>
        <w:rPr>
          <w:rFonts w:hint="eastAsia" w:ascii="仿宋_GB2312" w:hAnsi="CIDFont+F6" w:eastAsia="仿宋_GB2312"/>
          <w:color w:val="000000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中国共产党东乡族自治县委员会党校</w:t>
      </w:r>
    </w:p>
    <w:p>
      <w:pPr>
        <w:adjustRightInd w:val="0"/>
        <w:snapToGrid w:val="0"/>
        <w:spacing w:line="640" w:lineRule="exact"/>
        <w:ind w:right="1120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1.东乡县委员会党校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2.东乡县委员会党校2024年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+F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+F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RiZGY3MGZmOTljNmY5YTFjMzczZjA5MTcwNWM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CB731F"/>
    <w:rsid w:val="047E1FF7"/>
    <w:rsid w:val="113741D2"/>
    <w:rsid w:val="1D34261E"/>
    <w:rsid w:val="1E797ACA"/>
    <w:rsid w:val="23D24851"/>
    <w:rsid w:val="249B7B1D"/>
    <w:rsid w:val="319778A7"/>
    <w:rsid w:val="527E074E"/>
    <w:rsid w:val="54186A87"/>
    <w:rsid w:val="579503FF"/>
    <w:rsid w:val="5A750FF4"/>
    <w:rsid w:val="60535296"/>
    <w:rsid w:val="6406711D"/>
    <w:rsid w:val="64892A9E"/>
    <w:rsid w:val="72FD2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uiPriority w:val="0"/>
    <w:rPr>
      <w:b/>
      <w:bCs/>
    </w:rPr>
  </w:style>
  <w:style w:type="character" w:styleId="10">
    <w:name w:val="line number"/>
    <w:qFormat/>
    <w:uiPriority w:val="0"/>
  </w:style>
  <w:style w:type="character" w:styleId="11">
    <w:name w:val="annotation reference"/>
    <w:uiPriority w:val="0"/>
    <w:rPr>
      <w:sz w:val="21"/>
      <w:szCs w:val="21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  <w:style w:type="paragraph" w:customStyle="1" w:styleId="13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4">
    <w:name w:val="页脚 Char"/>
    <w:link w:val="5"/>
    <w:uiPriority w:val="0"/>
    <w:rPr>
      <w:sz w:val="18"/>
      <w:szCs w:val="18"/>
    </w:rPr>
  </w:style>
  <w:style w:type="character" w:customStyle="1" w:styleId="15">
    <w:name w:val="页眉 Char"/>
    <w:link w:val="6"/>
    <w:qFormat/>
    <w:uiPriority w:val="0"/>
    <w:rPr>
      <w:sz w:val="18"/>
      <w:szCs w:val="18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8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岁月</cp:lastModifiedBy>
  <cp:lastPrinted>2022-02-15T07:45:00Z</cp:lastPrinted>
  <dcterms:modified xsi:type="dcterms:W3CDTF">2024-03-14T05:03:31Z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08E26EF5704B4672B13795F4D4EAE684_13</vt:lpwstr>
  </property>
</Properties>
</file>