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附件</w:t>
      </w:r>
      <w:r>
        <w:rPr>
          <w:rFonts w:ascii="宋体" w:hAnsi="宋体" w:cs="宋体"/>
          <w:b/>
          <w:bCs/>
          <w:kern w:val="0"/>
          <w:sz w:val="24"/>
          <w:szCs w:val="24"/>
        </w:rPr>
        <w:t>1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黄河文化公园东乡县洮河文化公园服务中心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  <w:sectPr>
          <w:footerReference r:id="rId3" w:type="default"/>
          <w:pgSz w:w="11906" w:h="16838"/>
          <w:pgMar w:top="1134" w:right="1134" w:bottom="1440" w:left="1276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 xml:space="preserve">2024年单位预算公开情况说明 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目  录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30" w:lineRule="exact"/>
        <w:jc w:val="center"/>
        <w:rPr>
          <w:rFonts w:ascii="黑体" w:eastAsia="黑体"/>
          <w:color w:val="000000"/>
          <w:sz w:val="18"/>
          <w:szCs w:val="18"/>
        </w:rPr>
      </w:pP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第一部分 单位基本概况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一、单位职责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二、机构设置情况</w:t>
      </w: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第二部分 2024年单位预算情况说明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一、收支总体情况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二、一般公共预算情况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三、一般公共预算财政拨款“三公”经费、培训费、会议费等情况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四、一般公共预算财政拨款机关运行经费情况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五、政府采购安排情况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六、国有资产占用情况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七、其他重要事项情况说明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八、预算绩效管理情况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九、名词解释</w:t>
      </w: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第三部分 2024年单位预算公开表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一、单位收支总体情况表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二、单位收入总体情况表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三、单位支出总体情况表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四、财政拨款收支总体情况表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五、财政拨款支出表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六、一般公共预算支出情况表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七、一般公共预算基本支出情况表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pacing w:val="-2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八、</w:t>
      </w:r>
      <w:r>
        <w:rPr>
          <w:rFonts w:hint="eastAsia" w:ascii="仿宋_GB2312" w:hAnsi="仿宋" w:eastAsia="仿宋_GB2312"/>
          <w:color w:val="000000"/>
          <w:spacing w:val="-20"/>
          <w:sz w:val="30"/>
          <w:szCs w:val="30"/>
        </w:rPr>
        <w:t>一般公共预算财政拨款“三公”经费、会议费、培训费支出情况表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九、一般公共预算财政拨款机关运行经费表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十、政府性基金预算支出情况表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十一、部门管理转移支付表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十二、国有资本经营预算支出情况表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十三、单位整体支出绩效目标表和项目支出绩效目标表</w:t>
      </w:r>
    </w:p>
    <w:p>
      <w:pPr>
        <w:spacing w:line="660" w:lineRule="exact"/>
        <w:jc w:val="center"/>
        <w:rPr>
          <w:rFonts w:ascii="仿宋_GB2312" w:hAnsi="宋体" w:eastAsia="仿宋_GB2312" w:cs="宋体"/>
          <w:b/>
          <w:bCs/>
          <w:kern w:val="0"/>
          <w:sz w:val="44"/>
          <w:szCs w:val="44"/>
        </w:rPr>
      </w:pPr>
    </w:p>
    <w:p>
      <w:pPr>
        <w:spacing w:line="600" w:lineRule="exact"/>
        <w:ind w:firstLine="562" w:firstLineChars="200"/>
        <w:rPr>
          <w:rFonts w:ascii="仿宋_GB2312" w:hAnsi="仿宋" w:eastAsia="仿宋_GB2312" w:cs="宋体"/>
          <w:b/>
          <w:kern w:val="0"/>
          <w:sz w:val="28"/>
          <w:szCs w:val="28"/>
        </w:rPr>
        <w:sectPr>
          <w:footerReference r:id="rId4" w:type="default"/>
          <w:pgSz w:w="11906" w:h="16838"/>
          <w:pgMar w:top="1134" w:right="1134" w:bottom="1440" w:left="1276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600" w:lineRule="exact"/>
        <w:ind w:firstLine="643" w:firstLineChars="200"/>
        <w:rPr>
          <w:rFonts w:ascii="仿宋_GB2312" w:hAnsi="黑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/>
          <w:kern w:val="0"/>
          <w:sz w:val="32"/>
          <w:szCs w:val="32"/>
        </w:rPr>
        <w:t>前言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按照《中华人民共和国预算法》《中华人民共和国预算法实施条例》以及</w:t>
      </w:r>
      <w:r>
        <w:rPr>
          <w:rFonts w:ascii="仿宋_GB2312" w:hAnsi="仿宋" w:eastAsia="仿宋_GB2312" w:cs="宋体"/>
          <w:kern w:val="0"/>
          <w:sz w:val="32"/>
          <w:szCs w:val="32"/>
        </w:rPr>
        <w:t>财政部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《地方预决算公开操作规程》《关于推进部门所属单位预算公开的指导意见》和《中共甘肃省委办公厅 甘肃省人民政府办公厅关于进一步推进预算公开工作的实施方案》要求，现将2024年部门预算公开如下：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一、单位职责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主要职责是：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（一）负责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河文化公园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整体工作，对接协调各相关部门收集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流域各种资料。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（二）负责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系统梳理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挖掘整理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文化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融入公园建设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，协调各职能部门及时落实有关公园打造相关工作。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）负责制定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河文化公园整体发展规划，编制《黄河国家文化公园一一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河文化公园》项目可行性研究报告。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）积极规划争取申报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河文化公园项目，制定实施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并协调推进项目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方案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的实施。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负责建设完善园区内文物古迹、地质遗迹等保护设施，健全巡护制度，促进学习交流互动、进行科普和宣传教育，并做好园区相关资料的收集整理和归档。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负责组织筹备各种会议、活动策划及相关材料的申报工作，开展洮河文化公园对外文化旅游业务交流活动和宣传推介工作。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（七）负责洮河文化公园实时管理工作。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瀹嬩綋" w:hAnsi="瀹嬩綋" w:eastAsia="宋体" w:cs="瀹嬩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（八）承办文旅局交办的其他事项。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二、机构设置情况</w:t>
      </w:r>
    </w:p>
    <w:p>
      <w:pPr>
        <w:spacing w:line="600" w:lineRule="exact"/>
        <w:ind w:firstLine="643" w:firstLineChars="200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（一）直属事业单位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东乡县洮河文化公园服务中心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为财政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级预算单位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属于财政补助公益一类事业单位，执行政府会计制度。县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洮河文化公园服务中心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隶属于县文体广电和旅游局，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正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科级事业单位，事业编制人数13人，202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年年末实有人员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人，其中正科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人，副科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人，一般干部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人。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三、单位收支总体情况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按照预算管理有关规定，2024年单位收支包括机关预算和直属单位预算在内的汇总情况。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2024年部门收支总预算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213.43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万元。按照综合预算的原则，单位所有收入和支出均纳入部门预算管理。收入包括：一般公共预算拨款收入、政府性基金预算拨款收入、事业收入、事业单位经营收入、其他收入、使用非财政拨款结余、上年结转；支出包括：一般公共服务支出、公共安全支出、教育支出、科学技术支出、社会保障和就业支出、卫生健康支出、交通运输支出、住房保障支出、其他支出。</w:t>
      </w:r>
    </w:p>
    <w:p>
      <w:pPr>
        <w:spacing w:line="600" w:lineRule="exact"/>
        <w:ind w:firstLine="643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（一）收入预算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2024年收入预算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231.426</w:t>
      </w:r>
      <w:r>
        <w:rPr>
          <w:rFonts w:hint="eastAsia" w:ascii="仿宋_GB2312" w:hAnsi="仿宋" w:eastAsia="仿宋_GB2312"/>
          <w:sz w:val="32"/>
          <w:szCs w:val="32"/>
        </w:rPr>
        <w:t>万元（详见单位预算公开表1,2）。包括：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一般公共预算收入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231.426</w:t>
      </w:r>
      <w:r>
        <w:rPr>
          <w:rFonts w:hint="eastAsia" w:ascii="仿宋_GB2312" w:hAnsi="仿宋" w:eastAsia="仿宋_GB2312"/>
          <w:sz w:val="32"/>
          <w:szCs w:val="32"/>
        </w:rPr>
        <w:t>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100.00</w:t>
      </w:r>
      <w:r>
        <w:rPr>
          <w:rFonts w:hint="eastAsia" w:ascii="仿宋_GB2312" w:hAnsi="仿宋" w:eastAsia="仿宋_GB2312"/>
          <w:sz w:val="32"/>
          <w:szCs w:val="32"/>
        </w:rPr>
        <w:t>%；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政府性基金预算收入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0.00</w:t>
      </w:r>
      <w:r>
        <w:rPr>
          <w:rFonts w:hint="eastAsia" w:ascii="仿宋_GB2312" w:hAnsi="仿宋" w:eastAsia="仿宋_GB2312"/>
          <w:sz w:val="32"/>
          <w:szCs w:val="32"/>
        </w:rPr>
        <w:t>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0.00</w:t>
      </w:r>
      <w:r>
        <w:rPr>
          <w:rFonts w:hint="eastAsia" w:ascii="仿宋_GB2312" w:hAnsi="仿宋" w:eastAsia="仿宋_GB2312"/>
          <w:sz w:val="32"/>
          <w:szCs w:val="32"/>
        </w:rPr>
        <w:t>%；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上年结转收入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0.00</w:t>
      </w:r>
      <w:r>
        <w:rPr>
          <w:rFonts w:hint="eastAsia" w:ascii="仿宋_GB2312" w:hAnsi="仿宋" w:eastAsia="仿宋_GB2312"/>
          <w:sz w:val="32"/>
          <w:szCs w:val="32"/>
        </w:rPr>
        <w:t>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0.00</w:t>
      </w:r>
      <w:r>
        <w:rPr>
          <w:rFonts w:hint="eastAsia" w:ascii="仿宋_GB2312" w:hAnsi="仿宋" w:eastAsia="仿宋_GB2312"/>
          <w:sz w:val="32"/>
          <w:szCs w:val="32"/>
        </w:rPr>
        <w:t>%；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其他收入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0.00</w:t>
      </w:r>
      <w:r>
        <w:rPr>
          <w:rFonts w:hint="eastAsia" w:ascii="仿宋_GB2312" w:hAnsi="仿宋" w:eastAsia="仿宋_GB2312"/>
          <w:sz w:val="32"/>
          <w:szCs w:val="32"/>
        </w:rPr>
        <w:t>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0.00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（二）支出预算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2024年支出预算231.42万元（详见单位预算公开表3）。</w:t>
      </w:r>
      <w:r>
        <w:rPr>
          <w:rStyle w:val="20"/>
          <w:rFonts w:hint="default" w:hAnsi="仿宋"/>
        </w:rPr>
        <w:t>其中：基本支出</w:t>
      </w:r>
      <w:r>
        <w:rPr>
          <w:rStyle w:val="21"/>
          <w:rFonts w:hint="eastAsia" w:ascii="仿宋_GB2312" w:hAnsi="仿宋" w:eastAsia="仿宋_GB2312"/>
        </w:rPr>
        <w:t>221.42</w:t>
      </w:r>
      <w:r>
        <w:rPr>
          <w:rStyle w:val="20"/>
          <w:rFonts w:hint="default" w:hAnsi="仿宋"/>
        </w:rPr>
        <w:t>万元， 占</w:t>
      </w:r>
      <w:r>
        <w:rPr>
          <w:rStyle w:val="20"/>
          <w:rFonts w:hint="eastAsia" w:hAnsi="仿宋" w:eastAsia="仿宋_GB2312"/>
          <w:lang w:val="en-US" w:eastAsia="zh-CN"/>
        </w:rPr>
        <w:t>95.68</w:t>
      </w:r>
      <w:r>
        <w:rPr>
          <w:rStyle w:val="21"/>
          <w:rFonts w:hint="eastAsia" w:ascii="仿宋_GB2312" w:hAnsi="仿宋" w:eastAsia="仿宋_GB2312"/>
        </w:rPr>
        <w:t>%</w:t>
      </w:r>
      <w:r>
        <w:rPr>
          <w:rStyle w:val="20"/>
          <w:rFonts w:hint="default" w:hAnsi="仿宋"/>
        </w:rPr>
        <w:t>； 项目支出</w:t>
      </w:r>
      <w:r>
        <w:rPr>
          <w:rStyle w:val="20"/>
          <w:rFonts w:hint="eastAsia" w:hAnsi="仿宋" w:eastAsia="仿宋_GB2312"/>
          <w:lang w:val="en-US" w:eastAsia="zh-CN"/>
        </w:rPr>
        <w:t>10.00</w:t>
      </w:r>
      <w:r>
        <w:rPr>
          <w:rStyle w:val="20"/>
          <w:rFonts w:hint="default" w:hAnsi="仿宋"/>
        </w:rPr>
        <w:t>万元，占</w:t>
      </w:r>
      <w:r>
        <w:rPr>
          <w:rStyle w:val="21"/>
          <w:rFonts w:hint="eastAsia" w:ascii="仿宋_GB2312" w:hAnsi="仿宋" w:eastAsia="仿宋_GB2312"/>
          <w:lang w:val="en-US" w:eastAsia="zh-CN"/>
        </w:rPr>
        <w:t>4.32</w:t>
      </w:r>
      <w:r>
        <w:rPr>
          <w:rStyle w:val="21"/>
          <w:rFonts w:hint="eastAsia" w:ascii="仿宋_GB2312" w:hAnsi="仿宋" w:eastAsia="仿宋_GB2312"/>
        </w:rPr>
        <w:t>%</w:t>
      </w:r>
      <w:r>
        <w:rPr>
          <w:rStyle w:val="20"/>
          <w:rFonts w:hint="default" w:hAnsi="仿宋"/>
        </w:rPr>
        <w:t>； 上年结转</w:t>
      </w:r>
      <w:r>
        <w:rPr>
          <w:rStyle w:val="21"/>
          <w:rFonts w:hint="eastAsia" w:ascii="仿宋_GB2312" w:hAnsi="仿宋" w:eastAsia="仿宋_GB2312"/>
          <w:lang w:val="en-US" w:eastAsia="zh-CN"/>
        </w:rPr>
        <w:t>0.00</w:t>
      </w:r>
      <w:r>
        <w:rPr>
          <w:rStyle w:val="20"/>
          <w:rFonts w:hint="default" w:hAnsi="仿宋"/>
        </w:rPr>
        <w:t>万元， 占</w:t>
      </w:r>
      <w:r>
        <w:rPr>
          <w:rStyle w:val="21"/>
          <w:rFonts w:hint="eastAsia" w:ascii="仿宋_GB2312" w:hAnsi="仿宋" w:eastAsia="仿宋_GB2312"/>
          <w:lang w:val="en-US" w:eastAsia="zh-CN"/>
        </w:rPr>
        <w:t>0.00</w:t>
      </w:r>
      <w:r>
        <w:rPr>
          <w:rStyle w:val="21"/>
          <w:rFonts w:hint="eastAsia" w:ascii="仿宋_GB2312" w:hAnsi="仿宋" w:eastAsia="仿宋_GB2312"/>
        </w:rPr>
        <w:t>%</w:t>
      </w:r>
      <w:r>
        <w:rPr>
          <w:rStyle w:val="20"/>
          <w:rFonts w:hint="default" w:hAnsi="仿宋"/>
        </w:rPr>
        <w:t>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四、一般公共预算情况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Style w:val="21"/>
          <w:rFonts w:hint="eastAsia" w:ascii="仿宋_GB2312" w:hAnsi="仿宋" w:eastAsia="仿宋_GB2312"/>
        </w:rPr>
        <w:t xml:space="preserve">2024 </w:t>
      </w:r>
      <w:r>
        <w:rPr>
          <w:rStyle w:val="20"/>
          <w:rFonts w:hint="default" w:hAnsi="仿宋"/>
        </w:rPr>
        <w:t>年一般公共预算当年支出</w:t>
      </w:r>
      <w:r>
        <w:rPr>
          <w:rFonts w:hint="eastAsia" w:ascii="仿宋_GB2312" w:hAnsi="仿宋" w:eastAsia="仿宋_GB2312"/>
          <w:sz w:val="32"/>
          <w:szCs w:val="32"/>
        </w:rPr>
        <w:t>231.42</w:t>
      </w:r>
      <w:r>
        <w:rPr>
          <w:rStyle w:val="20"/>
          <w:rFonts w:hint="default" w:hAnsi="仿宋"/>
        </w:rPr>
        <w:t>万元，包括：一般公共服务支出</w:t>
      </w:r>
      <w:r>
        <w:rPr>
          <w:rStyle w:val="21"/>
          <w:rFonts w:hint="eastAsia" w:ascii="仿宋_GB2312" w:hAnsi="仿宋" w:eastAsia="仿宋_GB2312"/>
        </w:rPr>
        <w:t>2.54</w:t>
      </w:r>
      <w:r>
        <w:rPr>
          <w:rStyle w:val="20"/>
          <w:rFonts w:hint="default" w:hAnsi="仿宋"/>
        </w:rPr>
        <w:t>万元、文化体育与传媒支出支出</w:t>
      </w:r>
      <w:r>
        <w:rPr>
          <w:rStyle w:val="21"/>
          <w:rFonts w:hint="eastAsia" w:ascii="仿宋_GB2312" w:hAnsi="仿宋" w:eastAsia="仿宋_GB2312"/>
        </w:rPr>
        <w:t>181.19</w:t>
      </w:r>
      <w:r>
        <w:rPr>
          <w:rStyle w:val="20"/>
          <w:rFonts w:hint="default" w:hAnsi="仿宋"/>
        </w:rPr>
        <w:t>万元、社会保障和就业支出</w:t>
      </w:r>
      <w:r>
        <w:rPr>
          <w:rStyle w:val="21"/>
          <w:rFonts w:hint="eastAsia" w:ascii="仿宋_GB2312" w:hAnsi="仿宋" w:eastAsia="仿宋_GB2312"/>
        </w:rPr>
        <w:t>20.98</w:t>
      </w:r>
      <w:r>
        <w:rPr>
          <w:rStyle w:val="20"/>
          <w:rFonts w:hint="default" w:hAnsi="仿宋"/>
        </w:rPr>
        <w:t>万元、医疗卫生与计划生育支出</w:t>
      </w:r>
      <w:r>
        <w:rPr>
          <w:rStyle w:val="21"/>
          <w:rFonts w:hint="eastAsia" w:ascii="仿宋_GB2312" w:hAnsi="仿宋" w:eastAsia="仿宋_GB2312"/>
        </w:rPr>
        <w:t>11.16</w:t>
      </w:r>
      <w:r>
        <w:rPr>
          <w:rStyle w:val="20"/>
          <w:rFonts w:hint="default" w:hAnsi="仿宋"/>
        </w:rPr>
        <w:t>万元</w:t>
      </w:r>
      <w:r>
        <w:rPr>
          <w:rStyle w:val="20"/>
          <w:rFonts w:hint="eastAsia" w:hAnsi="仿宋" w:eastAsia="仿宋_GB2312"/>
          <w:lang w:eastAsia="zh-CN"/>
        </w:rPr>
        <w:t>、住房保障支出15.54</w:t>
      </w:r>
      <w:r>
        <w:rPr>
          <w:rStyle w:val="20"/>
          <w:rFonts w:hint="eastAsia" w:hAnsi="仿宋" w:eastAsia="仿宋_GB2312"/>
          <w:lang w:val="en-US" w:eastAsia="zh-CN"/>
        </w:rPr>
        <w:t>万元。</w:t>
      </w:r>
      <w:r>
        <w:rPr>
          <w:rFonts w:hint="eastAsia" w:ascii="仿宋_GB2312" w:hAnsi="仿宋" w:eastAsia="仿宋_GB2312"/>
          <w:sz w:val="32"/>
          <w:szCs w:val="32"/>
        </w:rPr>
        <w:t>具体安排情况如下</w:t>
      </w:r>
      <w:r>
        <w:rPr>
          <w:rFonts w:hint="eastAsia" w:ascii="仿宋_GB2312" w:hAnsi="微软雅黑" w:eastAsia="仿宋_GB2312"/>
          <w:sz w:val="32"/>
          <w:szCs w:val="32"/>
        </w:rPr>
        <w:t>（详见单位预算公开表4,5,6,7）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（一）基本支出</w:t>
      </w:r>
    </w:p>
    <w:p>
      <w:pPr>
        <w:widowControl/>
        <w:spacing w:line="640" w:lineRule="exact"/>
        <w:ind w:firstLine="640" w:firstLineChars="200"/>
        <w:contextualSpacing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2024年基本支出</w:t>
      </w:r>
      <w:r>
        <w:rPr>
          <w:rStyle w:val="21"/>
          <w:rFonts w:hint="eastAsia" w:ascii="仿宋_GB2312" w:hAnsi="仿宋" w:eastAsia="仿宋_GB2312"/>
        </w:rPr>
        <w:t>221.42</w:t>
      </w:r>
      <w:r>
        <w:rPr>
          <w:rFonts w:hint="eastAsia" w:ascii="仿宋_GB2312" w:hAnsi="仿宋" w:eastAsia="仿宋_GB2312"/>
          <w:sz w:val="32"/>
          <w:szCs w:val="32"/>
        </w:rPr>
        <w:t>万元，比2023年预算增加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116.19</w:t>
      </w:r>
      <w:r>
        <w:rPr>
          <w:rFonts w:hint="eastAsia" w:ascii="仿宋_GB2312" w:hAnsi="仿宋" w:eastAsia="仿宋_GB2312"/>
          <w:sz w:val="32"/>
          <w:szCs w:val="32"/>
        </w:rPr>
        <w:t>万元，增长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110.41</w:t>
      </w:r>
      <w:r>
        <w:rPr>
          <w:rFonts w:hint="eastAsia" w:ascii="仿宋_GB2312" w:hAnsi="仿宋" w:eastAsia="仿宋_GB2312"/>
          <w:sz w:val="32"/>
          <w:szCs w:val="32"/>
        </w:rPr>
        <w:t>%，增长的主要原因是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上年度因单位新成立，收入中未计算部分员工收入。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其中：人员经费支出203.44万元，主要包括：基本工资、津贴补贴、奖金、伙食补助费、绩效工资、机关事业单位基本养老保险缴费、职业年金缴费、职工基本医疗保险缴费、公务员医疗补助缴费、其他社会保障缴费、住房公积金、医疗费、其他工资福利支出、离休费、退休费、生活补助、医疗费补助、奖励金、代缴社会保险费 、其他对个人和家庭的补助等。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公用经费支出17.98211万元，主要包括：办公费、印刷费、咨询费、手续费、水费、电费、邮电费、取暖费、差旅费、维修（护）费、租赁费、会议费、培训费、专用材料费、被装购置费、劳务费、委托业务费、工会经费、福利费、其他交通费用、其他商品和服务支出、办公设备购置、专用设备购置等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（二）项目支出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2024年一般公共预算财政拨款项目支出预算10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.00</w:t>
      </w:r>
      <w:r>
        <w:rPr>
          <w:rFonts w:hint="eastAsia" w:ascii="仿宋_GB2312" w:hAnsi="仿宋" w:eastAsia="仿宋_GB2312"/>
          <w:sz w:val="32"/>
          <w:szCs w:val="32"/>
        </w:rPr>
        <w:t>万元，比2023年预算减少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5.2380</w:t>
      </w:r>
      <w:r>
        <w:rPr>
          <w:rFonts w:hint="eastAsia" w:ascii="仿宋_GB2312" w:hAnsi="仿宋" w:eastAsia="仿宋_GB2312"/>
          <w:sz w:val="32"/>
          <w:szCs w:val="32"/>
        </w:rPr>
        <w:t>万元，减少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34.37</w:t>
      </w:r>
      <w:r>
        <w:rPr>
          <w:rFonts w:hint="eastAsia" w:ascii="仿宋_GB2312" w:hAnsi="仿宋" w:eastAsia="仿宋_GB2312"/>
          <w:sz w:val="32"/>
          <w:szCs w:val="32"/>
        </w:rPr>
        <w:t xml:space="preserve"> %，减少的主要原因是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公益性岗位项目资金尚未下发。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保障运转经费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个，主要是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东乡县文化振兴发展研究工作经费10.00万元。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（三）支出功能分类说明</w:t>
      </w:r>
    </w:p>
    <w:p>
      <w:pPr>
        <w:spacing w:line="640" w:lineRule="exact"/>
        <w:ind w:firstLine="643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  <w:lang w:val="en-US" w:eastAsia="zh-CN"/>
        </w:rPr>
        <w:t>1.</w:t>
      </w:r>
      <w:r>
        <w:rPr>
          <w:rFonts w:hint="eastAsia" w:ascii="楷体_GB2312" w:hAnsi="黑体" w:eastAsia="楷体_GB2312"/>
          <w:b/>
          <w:sz w:val="32"/>
          <w:szCs w:val="32"/>
        </w:rPr>
        <w:t xml:space="preserve">一般公共服务支出  </w:t>
      </w:r>
      <w:r>
        <w:rPr>
          <w:rFonts w:hint="eastAsia" w:ascii="仿宋_GB2312" w:hAnsi="黑体" w:eastAsia="仿宋_GB2312" w:cs="Times New Roman"/>
          <w:sz w:val="32"/>
          <w:szCs w:val="32"/>
        </w:rPr>
        <w:t>群众团体事务</w:t>
      </w:r>
      <w:r>
        <w:rPr>
          <w:rFonts w:hint="eastAsia" w:ascii="仿宋_GB2312" w:hAnsi="黑体" w:eastAsia="仿宋_GB2312"/>
          <w:sz w:val="32"/>
          <w:szCs w:val="32"/>
        </w:rPr>
        <w:t>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黑体" w:eastAsia="仿宋_GB2312"/>
          <w:sz w:val="32"/>
          <w:szCs w:val="32"/>
        </w:rPr>
        <w:t>年预算支出2.54016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万</w:t>
      </w:r>
      <w:r>
        <w:rPr>
          <w:rFonts w:hint="eastAsia" w:ascii="仿宋_GB2312" w:hAnsi="黑体" w:eastAsia="仿宋_GB2312"/>
          <w:sz w:val="32"/>
          <w:szCs w:val="32"/>
        </w:rPr>
        <w:t>元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无上年度对比数据。</w:t>
      </w:r>
      <w:r>
        <w:rPr>
          <w:rFonts w:hint="eastAsia" w:ascii="仿宋_GB2312" w:hAnsi="黑体" w:eastAsia="仿宋_GB2312"/>
          <w:sz w:val="32"/>
          <w:szCs w:val="32"/>
        </w:rPr>
        <w:t>其中： 工会事务202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黑体" w:eastAsia="仿宋_GB2312"/>
          <w:sz w:val="32"/>
          <w:szCs w:val="32"/>
        </w:rPr>
        <w:t>年预算支出2.54016元，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主要原因是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上年度我单位工会还未成立，无相关数据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spacing w:line="640" w:lineRule="exact"/>
        <w:ind w:firstLine="643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b/>
          <w:sz w:val="32"/>
          <w:szCs w:val="32"/>
          <w:lang w:val="en-US" w:eastAsia="zh-CN"/>
        </w:rPr>
        <w:t>2.</w:t>
      </w:r>
      <w:r>
        <w:rPr>
          <w:rFonts w:hint="eastAsia" w:ascii="楷体_GB2312" w:hAnsi="黑体" w:eastAsia="楷体_GB2312" w:cs="Times New Roman"/>
          <w:b/>
          <w:sz w:val="32"/>
          <w:szCs w:val="32"/>
          <w:lang w:val="en-US" w:eastAsia="zh-CN"/>
        </w:rPr>
        <w:t>文化旅游体育与传媒支出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文化和旅游2024年预算支出181.19105万元，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无上年度对比数据。主要原因是上年度我单位新成立，无相关数据。</w:t>
      </w:r>
    </w:p>
    <w:p>
      <w:pPr>
        <w:spacing w:line="640" w:lineRule="exact"/>
        <w:ind w:firstLine="643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楷体_GB2312" w:hAnsi="黑体" w:eastAsia="楷体_GB2312"/>
          <w:b/>
          <w:sz w:val="32"/>
          <w:szCs w:val="32"/>
          <w:lang w:val="en-US" w:eastAsia="zh-CN"/>
        </w:rPr>
        <w:t>3.</w:t>
      </w:r>
      <w:r>
        <w:rPr>
          <w:rFonts w:hint="eastAsia" w:ascii="楷体_GB2312" w:hAnsi="黑体" w:eastAsia="楷体_GB2312"/>
          <w:b/>
          <w:sz w:val="32"/>
          <w:szCs w:val="32"/>
        </w:rPr>
        <w:t>社会保障和就业支出</w:t>
      </w:r>
      <w:r>
        <w:rPr>
          <w:rFonts w:hint="eastAsia" w:ascii="楷体_GB2312" w:hAnsi="黑体" w:eastAsia="楷体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黑体" w:eastAsia="仿宋_GB2312" w:cs="Times New Roman"/>
          <w:sz w:val="32"/>
          <w:szCs w:val="32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黑体" w:eastAsia="仿宋_GB2312"/>
          <w:sz w:val="32"/>
          <w:szCs w:val="32"/>
        </w:rPr>
        <w:t>年预算支出</w:t>
      </w:r>
      <w:r>
        <w:rPr>
          <w:rFonts w:hint="eastAsia" w:ascii="仿宋_GB2312" w:hAnsi="宋体" w:eastAsia="仿宋_GB2312"/>
          <w:sz w:val="32"/>
          <w:szCs w:val="32"/>
        </w:rPr>
        <w:t>20.986803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万</w:t>
      </w:r>
      <w:r>
        <w:rPr>
          <w:rFonts w:hint="eastAsia" w:ascii="仿宋_GB2312" w:hAnsi="黑体" w:eastAsia="仿宋_GB2312"/>
          <w:sz w:val="32"/>
          <w:szCs w:val="32"/>
        </w:rPr>
        <w:t>元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无上年度对比数据。</w:t>
      </w:r>
      <w:r>
        <w:rPr>
          <w:rFonts w:hint="eastAsia" w:ascii="仿宋_GB2312" w:hAnsi="黑体" w:eastAsia="仿宋_GB2312"/>
          <w:sz w:val="32"/>
          <w:szCs w:val="32"/>
        </w:rPr>
        <w:t>其中：</w:t>
      </w:r>
      <w:r>
        <w:rPr>
          <w:rFonts w:hint="eastAsia" w:ascii="仿宋_GB2312" w:hAnsi="黑体" w:eastAsia="仿宋_GB2312" w:cs="Times New Roman"/>
          <w:sz w:val="32"/>
          <w:szCs w:val="32"/>
        </w:rPr>
        <w:t>行政事业单位养老支出</w:t>
      </w:r>
      <w:r>
        <w:rPr>
          <w:rFonts w:hint="eastAsia" w:ascii="仿宋_GB2312" w:hAnsi="黑体" w:eastAsia="仿宋_GB2312"/>
          <w:sz w:val="32"/>
          <w:szCs w:val="32"/>
        </w:rPr>
        <w:t>20.727706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万</w:t>
      </w:r>
      <w:r>
        <w:rPr>
          <w:rFonts w:hint="eastAsia" w:ascii="仿宋_GB2312" w:hAnsi="黑体" w:eastAsia="仿宋_GB2312"/>
          <w:sz w:val="32"/>
          <w:szCs w:val="32"/>
        </w:rPr>
        <w:t>元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,无上年度对比数据</w:t>
      </w:r>
      <w:r>
        <w:rPr>
          <w:rFonts w:hint="eastAsia" w:ascii="仿宋_GB2312" w:hAnsi="黑体" w:eastAsia="仿宋_GB2312" w:cs="Times New Roman"/>
          <w:sz w:val="32"/>
          <w:szCs w:val="32"/>
          <w:lang w:eastAsia="zh-CN"/>
        </w:rPr>
        <w:t>，财政对工伤保险基金的补助0.259097万元，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无上年度对比数据</w:t>
      </w:r>
      <w:r>
        <w:rPr>
          <w:rFonts w:hint="eastAsia" w:ascii="仿宋_GB2312" w:hAnsi="黑体" w:eastAsia="仿宋_GB2312" w:cs="Times New Roman"/>
          <w:sz w:val="32"/>
          <w:szCs w:val="32"/>
          <w:lang w:eastAsia="zh-CN"/>
        </w:rPr>
        <w:t>，主要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原因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是上年度我单位新成立，无相关数据。</w:t>
      </w:r>
    </w:p>
    <w:p>
      <w:pPr>
        <w:spacing w:line="640" w:lineRule="exact"/>
        <w:ind w:firstLine="643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楷体_GB2312" w:hAnsi="黑体" w:eastAsia="楷体_GB2312"/>
          <w:b/>
          <w:sz w:val="32"/>
          <w:szCs w:val="32"/>
          <w:lang w:val="en-US" w:eastAsia="zh-CN"/>
        </w:rPr>
        <w:t>4.</w:t>
      </w:r>
      <w:r>
        <w:rPr>
          <w:rFonts w:hint="eastAsia" w:ascii="楷体_GB2312" w:hAnsi="黑体" w:eastAsia="楷体_GB2312"/>
          <w:b/>
          <w:sz w:val="32"/>
          <w:szCs w:val="32"/>
        </w:rPr>
        <w:t>卫生健康支出</w:t>
      </w:r>
      <w:r>
        <w:rPr>
          <w:rFonts w:hint="eastAsia" w:ascii="楷体_GB2312" w:hAnsi="黑体" w:eastAsia="楷体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黑体" w:eastAsia="仿宋_GB2312" w:cs="Times New Roman"/>
          <w:sz w:val="32"/>
          <w:szCs w:val="32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黑体" w:eastAsia="仿宋_GB2312"/>
          <w:sz w:val="32"/>
          <w:szCs w:val="32"/>
        </w:rPr>
        <w:t>年预算支出11.162793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万元，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无上年度对比数据</w:t>
      </w:r>
      <w:r>
        <w:rPr>
          <w:rFonts w:hint="eastAsia" w:ascii="仿宋_GB2312" w:hAnsi="黑体" w:eastAsia="仿宋_GB2312" w:cs="Times New Roman"/>
          <w:sz w:val="32"/>
          <w:szCs w:val="32"/>
          <w:lang w:eastAsia="zh-CN"/>
        </w:rPr>
        <w:t>，其中</w:t>
      </w:r>
      <w:r>
        <w:rPr>
          <w:rFonts w:hint="eastAsia" w:ascii="仿宋_GB2312" w:hAnsi="黑体" w:eastAsia="仿宋_GB2312" w:cs="Times New Roman"/>
          <w:sz w:val="32"/>
          <w:szCs w:val="32"/>
        </w:rPr>
        <w:t>财政对职工基本医疗保险基金的补助</w:t>
      </w:r>
      <w:r>
        <w:rPr>
          <w:rFonts w:hint="eastAsia" w:ascii="仿宋_GB2312" w:hAnsi="黑体" w:eastAsia="仿宋_GB2312"/>
          <w:sz w:val="32"/>
          <w:szCs w:val="32"/>
        </w:rPr>
        <w:t>11.162793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万元，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无上年度对比数据</w:t>
      </w:r>
      <w:r>
        <w:rPr>
          <w:rFonts w:hint="eastAsia" w:ascii="仿宋_GB2312" w:hAnsi="黑体" w:eastAsia="仿宋_GB2312" w:cs="Times New Roman"/>
          <w:sz w:val="32"/>
          <w:szCs w:val="32"/>
          <w:lang w:eastAsia="zh-CN"/>
        </w:rPr>
        <w:t>，主要原因是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上年度我单位新成立，无相关数据。</w:t>
      </w:r>
    </w:p>
    <w:p>
      <w:pPr>
        <w:spacing w:line="640" w:lineRule="exact"/>
        <w:ind w:firstLine="643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b/>
          <w:sz w:val="32"/>
          <w:szCs w:val="32"/>
          <w:lang w:val="en-US" w:eastAsia="zh-CN"/>
        </w:rPr>
        <w:t>5.</w:t>
      </w:r>
      <w:r>
        <w:rPr>
          <w:rFonts w:hint="eastAsia" w:ascii="楷体_GB2312" w:hAnsi="黑体" w:eastAsia="楷体_GB2312"/>
          <w:b/>
          <w:sz w:val="32"/>
          <w:szCs w:val="32"/>
          <w:lang w:eastAsia="zh-CN"/>
        </w:rPr>
        <w:t>住房保障支出</w:t>
      </w:r>
      <w:r>
        <w:rPr>
          <w:rFonts w:hint="eastAsia" w:ascii="楷体_GB2312" w:hAnsi="黑体" w:eastAsia="楷体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黑体" w:eastAsia="仿宋_GB2312" w:cs="Times New Roman"/>
          <w:sz w:val="32"/>
          <w:szCs w:val="32"/>
          <w:lang w:eastAsia="zh-CN"/>
        </w:rPr>
        <w:t>住房改革支出</w:t>
      </w:r>
      <w:r>
        <w:rPr>
          <w:rFonts w:hint="eastAsia" w:ascii="仿宋_GB2312" w:hAnsi="黑体" w:eastAsia="仿宋_GB2312" w:cs="Times New Roman"/>
          <w:sz w:val="32"/>
          <w:szCs w:val="32"/>
        </w:rPr>
        <w:t>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黑体" w:eastAsia="仿宋_GB2312"/>
          <w:sz w:val="32"/>
          <w:szCs w:val="32"/>
        </w:rPr>
        <w:t>年预算支出15.545779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万</w:t>
      </w:r>
      <w:r>
        <w:rPr>
          <w:rFonts w:hint="eastAsia" w:ascii="仿宋_GB2312" w:hAnsi="黑体" w:eastAsia="仿宋_GB2312"/>
          <w:sz w:val="32"/>
          <w:szCs w:val="32"/>
        </w:rPr>
        <w:t>元，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无上年度对比数据</w:t>
      </w:r>
      <w:r>
        <w:rPr>
          <w:rFonts w:hint="eastAsia" w:ascii="仿宋_GB2312" w:hAnsi="黑体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仿宋_GB2312" w:hAnsi="黑体" w:eastAsia="仿宋_GB2312"/>
          <w:sz w:val="32"/>
          <w:szCs w:val="32"/>
        </w:rPr>
        <w:t>其中：住房公积金预算支出15.545779万元，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无上年度对比数据</w:t>
      </w:r>
      <w:r>
        <w:rPr>
          <w:rFonts w:hint="eastAsia" w:ascii="仿宋_GB2312" w:hAnsi="黑体" w:eastAsia="仿宋_GB2312"/>
          <w:sz w:val="32"/>
          <w:szCs w:val="32"/>
        </w:rPr>
        <w:t>。</w:t>
      </w:r>
      <w:r>
        <w:rPr>
          <w:rFonts w:hint="eastAsia" w:ascii="仿宋_GB2312" w:hAnsi="黑体" w:eastAsia="仿宋_GB2312" w:cs="Times New Roman"/>
          <w:sz w:val="32"/>
          <w:szCs w:val="32"/>
          <w:lang w:eastAsia="zh-CN"/>
        </w:rPr>
        <w:t>主要原因是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上年度我单位新成立，无相关数据。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五、部门（单位）一般公共预算财政拨款“三公”经费、培训费、会议费等情况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（一）“三公”经费情况说明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仿宋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“三公”经费预算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0.00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较2023年无变化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1.因公出国（境）费用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0.00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较2023年无变化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2.公务接待费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0.00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较2023年无变化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3.公务用车购置及运行维护费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0.00</w:t>
      </w:r>
      <w:r>
        <w:rPr>
          <w:rFonts w:hint="eastAsia" w:ascii="仿宋_GB2312" w:hAnsi="仿宋" w:eastAsia="仿宋_GB2312"/>
          <w:sz w:val="32"/>
          <w:szCs w:val="32"/>
        </w:rPr>
        <w:t xml:space="preserve">万元（其中：公务用车购置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0.00</w:t>
      </w:r>
      <w:r>
        <w:rPr>
          <w:rFonts w:hint="eastAsia" w:ascii="仿宋_GB2312" w:hAnsi="仿宋" w:eastAsia="仿宋_GB2312"/>
          <w:sz w:val="32"/>
          <w:szCs w:val="32"/>
        </w:rPr>
        <w:t>万元，公务用车运行维护费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0.00</w:t>
      </w:r>
      <w:r>
        <w:rPr>
          <w:rFonts w:hint="eastAsia" w:ascii="仿宋_GB2312" w:hAnsi="仿宋" w:eastAsia="仿宋_GB2312"/>
          <w:sz w:val="32"/>
          <w:szCs w:val="32"/>
        </w:rPr>
        <w:t>万元），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较2023年无变化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（二）培训费预算情况说明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4.培训费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0.00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较2023年无变化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（三）会议费预算情况说明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5.会议费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0.00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较2023年无变化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六、一般公共预算财政拨款机关运行经费情况</w:t>
      </w:r>
    </w:p>
    <w:p>
      <w:pPr>
        <w:spacing w:line="6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机关运行经费25.44195万元，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无上年度对比数据</w:t>
      </w:r>
      <w:r>
        <w:rPr>
          <w:rFonts w:hint="eastAsia" w:ascii="仿宋_GB2312" w:hAnsi="黑体" w:eastAsia="仿宋_GB2312" w:cs="Times New Roman"/>
          <w:sz w:val="32"/>
          <w:szCs w:val="32"/>
          <w:lang w:eastAsia="zh-CN"/>
        </w:rPr>
        <w:t>，主要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原因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是上年度我单位新成立，无相关数据。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七、政府采购安排情况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2024年，单位政府采购预算总额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5.45</w:t>
      </w:r>
      <w:r>
        <w:rPr>
          <w:rFonts w:hint="eastAsia" w:ascii="仿宋_GB2312" w:hAnsi="仿宋" w:eastAsia="仿宋_GB2312"/>
          <w:sz w:val="32"/>
          <w:szCs w:val="32"/>
        </w:rPr>
        <w:t>万元，其中：政府采购货物预算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5.45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2024年，单位面向中小企业预留政府采购项目预算金额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5.45</w:t>
      </w:r>
      <w:r>
        <w:rPr>
          <w:rFonts w:hint="eastAsia" w:ascii="仿宋_GB2312" w:hAnsi="仿宋" w:eastAsia="仿宋_GB2312"/>
          <w:sz w:val="32"/>
          <w:szCs w:val="32"/>
        </w:rPr>
        <w:t xml:space="preserve"> 万元，小微企业预留政府采购项目预算金额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5.45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八、国有资产占用情况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因上年度我单位新成立，无2023年数据。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九、其他重要事项情况说明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（一）政府性基金预算支出情况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2024年未安排预算，政府性基金预算支出情况表为空表。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（二）非税收入情况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2024年本单位2024年</w:t>
      </w:r>
      <w:r>
        <w:rPr>
          <w:rFonts w:ascii="仿宋_GB2312" w:hAnsi="仿宋" w:eastAsia="仿宋_GB2312"/>
          <w:sz w:val="32"/>
          <w:szCs w:val="32"/>
        </w:rPr>
        <w:t>无非税收入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（三）重点项目情况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2024年</w:t>
      </w:r>
      <w:r>
        <w:rPr>
          <w:rFonts w:hint="eastAsia" w:ascii="仿宋_GB2312" w:hAnsi="仿宋" w:eastAsia="仿宋_GB2312"/>
          <w:sz w:val="32"/>
          <w:szCs w:val="32"/>
        </w:rPr>
        <w:t>本单位年初预算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安排10.00万元项目资金，项目名称为东乡县文化振兴发展研究工作经费，主要用于洮河文化相关活动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（四）部门管理转移支付情况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我单位</w:t>
      </w:r>
      <w:r>
        <w:rPr>
          <w:rFonts w:hint="eastAsia" w:ascii="仿宋_GB2312" w:hAnsi="仿宋" w:eastAsia="仿宋_GB2312"/>
          <w:sz w:val="32"/>
          <w:szCs w:val="32"/>
        </w:rPr>
        <w:t>未安排预算，单位管理转移支付表为空表。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（五）国有资本经营预算支出情况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2024年未安排国有资本经营预算支出，国有资本经营预算支出情况表为空表。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十、预算绩效管理情况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（一）2023年预算绩效管理工作情况。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按照《中共中央国务院关于全面实施预算绩效管理的意见》《中共甘肃省委 甘肃省人民政府关于全面实施预算绩效管理的实施意见》等相关要求，我们将绩效理念和方法融入预算编制、执行、决算和监督全过程认真开展各项工作。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1.绩效目标管理情况。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无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2.绩效运行监控情况。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无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3.绩效自评开展情况。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无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4.绩效结果应用情况。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无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（二）2024年绩效目标编制情况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2024年，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我单位没有</w:t>
      </w:r>
      <w:r>
        <w:rPr>
          <w:rFonts w:hint="eastAsia" w:ascii="仿宋_GB2312" w:hAnsi="仿宋" w:eastAsia="仿宋_GB2312"/>
          <w:sz w:val="32"/>
          <w:szCs w:val="32"/>
        </w:rPr>
        <w:t>纳入单位预算绩效目标管理的项目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十一、名词解释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1、财政拨款: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指由一般公共预算、政府性基金预算、国有资本经营预算安排的财政拨款数。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2、一般公共预算: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包括公共财政拨款（补助）资金、专项收入。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3、财政专户管理资金: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包括专户管理行政事业性收费（主要是教育收费）、其他非税收入。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4、其他资金: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包括事业收入、事业经营收入、其他收入等。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5、基本支出: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包括人员经费、公用经费（定额）。其中，人员经费包括工资福利支出、对个人和家庭的补助。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6、项目支出: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单位支出预算的组成部分，是各单位为完成其特定的行政任务或事业发展目标，在基本支出预算之外编制的年度项目支出计划。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7、“三公”经费: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指因公出国（境）费、公务用车购置及运行维护费和公务接待费。其中，因公出国（境）费反映单位公务出国（境）的国际旅费、国外城市间交通费、住宿费、伙食费、培训费、公杂费等支出；公务用车运行维护费反映单位按规定保留的公务用车租用费、燃料费、维修费、过路过桥费、保险费、安全奖励费用等支出；公务接待费反映单位按规定开支的各类公务接待（含外宾接待）支出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4" w:eastAsia="仿宋_GB2312"/>
          <w:b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8、机关运行经费: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为保障行政单位（包括实行公务员管理的事业单位）运行用于购买货物和服务的各项资金，包括办公及印刷费、邮电费、差旅费、会议费、福利费、日常维修费、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40" w:lineRule="exact"/>
        <w:contextualSpacing/>
        <w:jc w:val="right"/>
        <w:rPr>
          <w:rFonts w:hint="eastAsia" w:ascii="仿宋_GB2312" w:hAnsi="CIDFont+F6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contextualSpacing/>
        <w:jc w:val="right"/>
        <w:rPr>
          <w:rFonts w:hint="eastAsia" w:ascii="仿宋_GB2312" w:hAnsi="CIDFont+F6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ind w:right="960"/>
        <w:contextualSpacing/>
        <w:jc w:val="right"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6" w:eastAsia="仿宋_GB2312"/>
          <w:color w:val="000000"/>
          <w:sz w:val="32"/>
          <w:szCs w:val="32"/>
        </w:rPr>
        <w:t>黄河文化公园东乡县洮河文化公园服务中心</w:t>
      </w:r>
    </w:p>
    <w:p>
      <w:pPr>
        <w:adjustRightInd w:val="0"/>
        <w:snapToGrid w:val="0"/>
        <w:spacing w:line="640" w:lineRule="exact"/>
        <w:ind w:right="1120"/>
        <w:contextualSpacing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2024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年</w:t>
      </w: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月</w:t>
      </w: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日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宋体" w:eastAsia="仿宋_GB2312" w:cs="宋体"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1.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黄河文化公园东乡县洮河文化公园服务中心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预算公开表</w:t>
      </w:r>
    </w:p>
    <w:p>
      <w:pPr>
        <w:tabs>
          <w:tab w:val="left" w:pos="1848"/>
        </w:tabs>
      </w:pPr>
    </w:p>
    <w:p>
      <w:pPr>
        <w:tabs>
          <w:tab w:val="left" w:pos="1848"/>
        </w:tabs>
      </w:pPr>
      <w:bookmarkStart w:id="0" w:name="_GoBack"/>
      <w:bookmarkEnd w:id="0"/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tbl>
      <w:tblPr>
        <w:tblStyle w:val="8"/>
        <w:tblW w:w="85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2"/>
        <w:gridCol w:w="2001"/>
        <w:gridCol w:w="2772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表一、</w:t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部门收支总体情况表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7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收入</w:t>
            </w:r>
          </w:p>
        </w:tc>
        <w:tc>
          <w:tcPr>
            <w:tcW w:w="3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预算数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一、一般公共预算财政拨款收入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231.43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二、政府性基金预算财政拨款收入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二、外交支出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三、国有资本经营预算收入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三、国防支出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四、教育专户核算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四、公共安全支出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五、事业收入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五、教育支出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六、上级补助收入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六、科学技术支出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七、附属单位上缴收入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七、文化旅游体育与传媒支出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八、经营收入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八、社会保障和就业支出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九、其他收入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九、社会保险基金支出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十、卫生健康支出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十一、节能环保支出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十二、城乡社区支出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十三、农林水支出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十四、交通运输支出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十五、资源勘探工业信息等支出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十六、商业服务业等支出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十七、金融支出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十八、援助其他地区支出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十九、自然资源海洋气象等支出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二十、住房保障支出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二十一、粮油物资储备支出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二十二、国有资本经营预算支出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二十三、灾害防治及应急管理支出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二十四、预备费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二十五、其他支出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二十六、转移性支出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二十七、债务还本支出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二十八、债务付息支出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二十九、债务发行费用支出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三十、抗疫特别国债还本支出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年 收 入 合 计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231.43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　年　支　出　合　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上年结转结余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年终结转结余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  入  总  计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231.43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  出  总  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备注：无内容应公开空表并说明情况。</w:t>
            </w:r>
          </w:p>
        </w:tc>
      </w:tr>
    </w:tbl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tbl>
      <w:tblPr>
        <w:tblStyle w:val="8"/>
        <w:tblW w:w="88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3"/>
        <w:gridCol w:w="3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表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二、</w:t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部门收入总体情况表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一、一般公共预算资金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本年收入合计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二、上年结转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财政性资金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教育专户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非财政性资金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收入合计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备注：无内容应公开空表并说明情况。</w:t>
            </w:r>
          </w:p>
        </w:tc>
      </w:tr>
    </w:tbl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tbl>
      <w:tblPr>
        <w:tblStyle w:val="8"/>
        <w:tblW w:w="78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5"/>
        <w:gridCol w:w="1050"/>
        <w:gridCol w:w="1110"/>
        <w:gridCol w:w="1260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表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三、</w:t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部门支出总体情况表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功能分类科目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支出合计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上年结转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231.43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221.43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群众团体事务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工会事务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文化旅游体育与传媒支出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181.19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171.19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文化和旅游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181.19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171.19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181.19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171.19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行政事业单位养老支出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财政对其他社会保险基金的补助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财政对工伤保险基金的补助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财政对基本医疗保险基金的补助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财政对职工基本医疗保险基金的补助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备注：无内容应公开空表并说明情况。</w:t>
            </w:r>
          </w:p>
        </w:tc>
      </w:tr>
    </w:tbl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tbl>
      <w:tblPr>
        <w:tblStyle w:val="8"/>
        <w:tblW w:w="97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4"/>
        <w:gridCol w:w="919"/>
        <w:gridCol w:w="4322"/>
        <w:gridCol w:w="1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表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四、</w:t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财政拨款收支总体情况表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5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收入</w:t>
            </w:r>
          </w:p>
        </w:tc>
        <w:tc>
          <w:tcPr>
            <w:tcW w:w="6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预算数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一、本年收入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231.43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一、本年支出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（一）一般公共预算财政拨款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231.43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（一）一般公共服务支出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（二）政府性基金预算财政拨款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（二）外交支出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（三）国有资本经营预算财政拨款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（三）国防支出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（四）公共安全支出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（五）教育支出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（六）科学技术支出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（七）文化体育与传媒支出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（八）社会保障和就业支出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（九）社会保险基金支出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（十）医疗卫生与计划生育支出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（十一）节能环保支出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（十二）城乡社区支出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（十三）农林水支出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（十四）交通运输支出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（十五）资源勘探信息等支出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（十六）商业服务业等支出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（十七）金融支出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（十八）援助其他地区支出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（十九）国土海洋气象等支出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（二十）住房保障支出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（二十一）粮油物资储备支出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（二十二）国有资本经营预算支出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（二十三）灾害防治及应急管理支出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（二十四）预备费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（二十五）其他支出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（二十六）债务还本支出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（二十七）债务付息支出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（二十八）债务发行费用支出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    入    总    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231.43</w:t>
            </w: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    出    总    计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备注：无内容应公开空表并说明情况。</w:t>
            </w:r>
          </w:p>
        </w:tc>
      </w:tr>
    </w:tbl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tbl>
      <w:tblPr>
        <w:tblStyle w:val="8"/>
        <w:tblW w:w="97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756"/>
        <w:gridCol w:w="756"/>
        <w:gridCol w:w="794"/>
        <w:gridCol w:w="792"/>
        <w:gridCol w:w="434"/>
        <w:gridCol w:w="785"/>
        <w:gridCol w:w="785"/>
        <w:gridCol w:w="434"/>
        <w:gridCol w:w="785"/>
        <w:gridCol w:w="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7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表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五、</w:t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财政拨款支出表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一般公共预算支出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政府性基金预算支出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国有资本经营预算支出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231.43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231.43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221.43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东乡族自治县文体广电和旅游局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231.43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231.43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221.43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黄河文化公园东乡县洮河文化公园服务中心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231.43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231.43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221.43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7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备注：无内容应公开空表并说明情况。</w:t>
            </w:r>
          </w:p>
        </w:tc>
      </w:tr>
    </w:tbl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tbl>
      <w:tblPr>
        <w:tblStyle w:val="8"/>
        <w:tblW w:w="104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954"/>
        <w:gridCol w:w="1110"/>
        <w:gridCol w:w="1215"/>
        <w:gridCol w:w="3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六、</w:t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一般公共预算支出情况表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0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功能分类科目</w:t>
            </w:r>
          </w:p>
        </w:tc>
        <w:tc>
          <w:tcPr>
            <w:tcW w:w="5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231.43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221.426585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2.54016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2.54016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群众团体事务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2.54016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2.54016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2012906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工会事务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2.54016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2.54016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文化旅游体育与传媒支出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181.19105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171.19105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20701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文化和旅游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181.19105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171.19105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2070101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181.19105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171.19105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20.986803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20.986803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行政事业单位养老支出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20.727706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20.727706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2080505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20.727706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20.727706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20827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财政对其他社会保险基金的补助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0.259097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0.259097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2082702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财政对工伤保险基金的补助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0.259097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0.259097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11.162793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11.162793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财政对基本医疗保险基金的补助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11.162793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11.162793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2101201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财政对职工基本医疗保险基金的补助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11.162793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11.162793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15.545779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15.545779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22102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15.545779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15.545779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2210201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15.545779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15.545779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备注：无内容应公开空表并说明情况。</w:t>
            </w:r>
          </w:p>
        </w:tc>
      </w:tr>
    </w:tbl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tbl>
      <w:tblPr>
        <w:tblStyle w:val="8"/>
        <w:tblW w:w="95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590"/>
        <w:gridCol w:w="795"/>
        <w:gridCol w:w="2732"/>
        <w:gridCol w:w="2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表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七、</w:t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一般公共预算基本支出表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4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经济分类科目</w:t>
            </w:r>
          </w:p>
        </w:tc>
        <w:tc>
          <w:tcPr>
            <w:tcW w:w="6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一般公共预算基本支出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221.43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203.44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17.98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30228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取暖费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12.90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30229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福利费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203.44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203.44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69.73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69.73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58.83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58.83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27.19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27.19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20.73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20.73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30112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0.41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30111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公务员医疗补助缴费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30110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职工基本医疗保险缴费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9.07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9.07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30113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15.55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15.55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备注：无内容应公开空表并说明情况。</w:t>
            </w:r>
          </w:p>
        </w:tc>
      </w:tr>
    </w:tbl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tbl>
      <w:tblPr>
        <w:tblStyle w:val="8"/>
        <w:tblW w:w="98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172"/>
        <w:gridCol w:w="1550"/>
        <w:gridCol w:w="1172"/>
        <w:gridCol w:w="1172"/>
        <w:gridCol w:w="1172"/>
        <w:gridCol w:w="1172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表八、</w:t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一般公共预算“三公”经费、会议费、培训费支出情况表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2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“三公”经费</w:t>
            </w: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会议费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因公出国（境）费用</w:t>
            </w: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2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公务用车购置和运行费</w:t>
            </w: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备注：无内容应公开空表并说明情况。</w:t>
            </w:r>
          </w:p>
        </w:tc>
      </w:tr>
    </w:tbl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tbl>
      <w:tblPr>
        <w:tblStyle w:val="8"/>
        <w:tblW w:w="89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2834"/>
        <w:gridCol w:w="1680"/>
        <w:gridCol w:w="165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表九、</w:t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一般公共预算机关运行经费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25.44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15.44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取暖费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22.90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12.90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福利费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备注：无内容应公开空表并说明情况。</w:t>
            </w:r>
          </w:p>
        </w:tc>
      </w:tr>
    </w:tbl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tbl>
      <w:tblPr>
        <w:tblStyle w:val="8"/>
        <w:tblW w:w="98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9"/>
        <w:gridCol w:w="2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表十、</w:t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政府性基金预算支出情况表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备注：无内容应公开空表并说明情况。</w:t>
            </w:r>
          </w:p>
        </w:tc>
      </w:tr>
    </w:tbl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tbl>
      <w:tblPr>
        <w:tblStyle w:val="8"/>
        <w:tblW w:w="88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435"/>
        <w:gridCol w:w="1920"/>
        <w:gridCol w:w="2325"/>
        <w:gridCol w:w="3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表十一、</w:t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部门管理转移支付表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一般公共预算项目支出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政府性基金预算项目支出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国有资本经营预算项目支出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备注：无内容应公开空表并说明情况。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1848"/>
        </w:tabs>
      </w:pPr>
    </w:p>
    <w:p>
      <w:pPr>
        <w:tabs>
          <w:tab w:val="left" w:pos="1848"/>
        </w:tabs>
      </w:pPr>
    </w:p>
    <w:p>
      <w:pPr>
        <w:tabs>
          <w:tab w:val="left" w:pos="1848"/>
        </w:tabs>
      </w:pPr>
    </w:p>
    <w:tbl>
      <w:tblPr>
        <w:tblStyle w:val="8"/>
        <w:tblW w:w="102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2"/>
        <w:gridCol w:w="2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表十二、国有资本经营预算支出情况表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单位：万元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备注：无内容应公开空表并说明情况。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1848"/>
        </w:tabs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IDFont+F6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IDFont+F4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27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2YzRiZGY3MGZmOTljNmY5YTFjMzczZjA5MTcwNWMifQ=="/>
  </w:docVars>
  <w:rsids>
    <w:rsidRoot w:val="00FB4362"/>
    <w:rsid w:val="00000C55"/>
    <w:rsid w:val="00001446"/>
    <w:rsid w:val="0001130C"/>
    <w:rsid w:val="00011F27"/>
    <w:rsid w:val="00012457"/>
    <w:rsid w:val="00021BBF"/>
    <w:rsid w:val="00030443"/>
    <w:rsid w:val="00030F4C"/>
    <w:rsid w:val="0003278A"/>
    <w:rsid w:val="000368FE"/>
    <w:rsid w:val="00042A06"/>
    <w:rsid w:val="00043601"/>
    <w:rsid w:val="000442B5"/>
    <w:rsid w:val="0004639D"/>
    <w:rsid w:val="000465E2"/>
    <w:rsid w:val="0005161F"/>
    <w:rsid w:val="000547D1"/>
    <w:rsid w:val="00055759"/>
    <w:rsid w:val="000612EE"/>
    <w:rsid w:val="00061BAF"/>
    <w:rsid w:val="0006337D"/>
    <w:rsid w:val="00074626"/>
    <w:rsid w:val="00076B62"/>
    <w:rsid w:val="00082093"/>
    <w:rsid w:val="000861D5"/>
    <w:rsid w:val="0009273A"/>
    <w:rsid w:val="000A20A7"/>
    <w:rsid w:val="000A655B"/>
    <w:rsid w:val="000B54DD"/>
    <w:rsid w:val="000C2055"/>
    <w:rsid w:val="000C2B7F"/>
    <w:rsid w:val="000C37BE"/>
    <w:rsid w:val="000C4C50"/>
    <w:rsid w:val="000D0130"/>
    <w:rsid w:val="000D2EEE"/>
    <w:rsid w:val="000D2F19"/>
    <w:rsid w:val="000E0CEA"/>
    <w:rsid w:val="000F3CBF"/>
    <w:rsid w:val="000F3F42"/>
    <w:rsid w:val="000F473D"/>
    <w:rsid w:val="001017F3"/>
    <w:rsid w:val="0011297B"/>
    <w:rsid w:val="00123768"/>
    <w:rsid w:val="00126B08"/>
    <w:rsid w:val="001272E5"/>
    <w:rsid w:val="00127D01"/>
    <w:rsid w:val="00130F5F"/>
    <w:rsid w:val="001374F5"/>
    <w:rsid w:val="00152FDC"/>
    <w:rsid w:val="001561FD"/>
    <w:rsid w:val="0015647B"/>
    <w:rsid w:val="00156619"/>
    <w:rsid w:val="00156C8B"/>
    <w:rsid w:val="00160A8C"/>
    <w:rsid w:val="001700B4"/>
    <w:rsid w:val="00171070"/>
    <w:rsid w:val="001A416A"/>
    <w:rsid w:val="001A6118"/>
    <w:rsid w:val="001B0364"/>
    <w:rsid w:val="001B0B8E"/>
    <w:rsid w:val="001B342F"/>
    <w:rsid w:val="001C1259"/>
    <w:rsid w:val="001D1DA7"/>
    <w:rsid w:val="001E17E4"/>
    <w:rsid w:val="001E2410"/>
    <w:rsid w:val="001E347C"/>
    <w:rsid w:val="001E6110"/>
    <w:rsid w:val="001F3C4D"/>
    <w:rsid w:val="002033EA"/>
    <w:rsid w:val="00214046"/>
    <w:rsid w:val="0022561F"/>
    <w:rsid w:val="00232DBE"/>
    <w:rsid w:val="002355E7"/>
    <w:rsid w:val="00235F73"/>
    <w:rsid w:val="0023681E"/>
    <w:rsid w:val="00241FEC"/>
    <w:rsid w:val="00243562"/>
    <w:rsid w:val="0025164A"/>
    <w:rsid w:val="00265C3D"/>
    <w:rsid w:val="00266C2E"/>
    <w:rsid w:val="00270DF8"/>
    <w:rsid w:val="002754B3"/>
    <w:rsid w:val="0028392B"/>
    <w:rsid w:val="002934F2"/>
    <w:rsid w:val="002A3A19"/>
    <w:rsid w:val="002A3ED4"/>
    <w:rsid w:val="002A7274"/>
    <w:rsid w:val="002B2833"/>
    <w:rsid w:val="002B7BA1"/>
    <w:rsid w:val="002C01BB"/>
    <w:rsid w:val="002C3FA4"/>
    <w:rsid w:val="002E2161"/>
    <w:rsid w:val="002E30F2"/>
    <w:rsid w:val="002E4E72"/>
    <w:rsid w:val="002F0CE0"/>
    <w:rsid w:val="002F4ED9"/>
    <w:rsid w:val="002F75FE"/>
    <w:rsid w:val="002F7FA5"/>
    <w:rsid w:val="003017F4"/>
    <w:rsid w:val="00301AAB"/>
    <w:rsid w:val="00306B68"/>
    <w:rsid w:val="003129FE"/>
    <w:rsid w:val="003322AC"/>
    <w:rsid w:val="00335342"/>
    <w:rsid w:val="00343A8E"/>
    <w:rsid w:val="00345713"/>
    <w:rsid w:val="003566B9"/>
    <w:rsid w:val="00356C98"/>
    <w:rsid w:val="0036367B"/>
    <w:rsid w:val="0036496C"/>
    <w:rsid w:val="00365414"/>
    <w:rsid w:val="00372734"/>
    <w:rsid w:val="00372A33"/>
    <w:rsid w:val="0037374A"/>
    <w:rsid w:val="00377A88"/>
    <w:rsid w:val="00392E2B"/>
    <w:rsid w:val="003A396F"/>
    <w:rsid w:val="003A68FD"/>
    <w:rsid w:val="003A7A18"/>
    <w:rsid w:val="003B3187"/>
    <w:rsid w:val="003B327A"/>
    <w:rsid w:val="003B4612"/>
    <w:rsid w:val="003B76D2"/>
    <w:rsid w:val="003D6D41"/>
    <w:rsid w:val="003E3B0A"/>
    <w:rsid w:val="0040581D"/>
    <w:rsid w:val="00417BF3"/>
    <w:rsid w:val="00425D21"/>
    <w:rsid w:val="00426463"/>
    <w:rsid w:val="00427875"/>
    <w:rsid w:val="004317A0"/>
    <w:rsid w:val="0043556D"/>
    <w:rsid w:val="0043739B"/>
    <w:rsid w:val="00441579"/>
    <w:rsid w:val="004418B5"/>
    <w:rsid w:val="00445789"/>
    <w:rsid w:val="00463FB8"/>
    <w:rsid w:val="00480A2F"/>
    <w:rsid w:val="00480B47"/>
    <w:rsid w:val="00481F19"/>
    <w:rsid w:val="00487BC0"/>
    <w:rsid w:val="00490FF8"/>
    <w:rsid w:val="004A1851"/>
    <w:rsid w:val="004B337A"/>
    <w:rsid w:val="004B5538"/>
    <w:rsid w:val="004C3127"/>
    <w:rsid w:val="004D27C3"/>
    <w:rsid w:val="004D44D2"/>
    <w:rsid w:val="004D491E"/>
    <w:rsid w:val="004E3E51"/>
    <w:rsid w:val="004E625A"/>
    <w:rsid w:val="004F73BD"/>
    <w:rsid w:val="00502474"/>
    <w:rsid w:val="00515110"/>
    <w:rsid w:val="00523062"/>
    <w:rsid w:val="00532434"/>
    <w:rsid w:val="00537019"/>
    <w:rsid w:val="0054271B"/>
    <w:rsid w:val="00545281"/>
    <w:rsid w:val="00551A39"/>
    <w:rsid w:val="00566585"/>
    <w:rsid w:val="00580A2F"/>
    <w:rsid w:val="005A2CB7"/>
    <w:rsid w:val="005B15C7"/>
    <w:rsid w:val="005B51EA"/>
    <w:rsid w:val="005C6B92"/>
    <w:rsid w:val="005F4CC9"/>
    <w:rsid w:val="0060056E"/>
    <w:rsid w:val="006039C9"/>
    <w:rsid w:val="00605602"/>
    <w:rsid w:val="00605D22"/>
    <w:rsid w:val="00620A03"/>
    <w:rsid w:val="00621126"/>
    <w:rsid w:val="0062145A"/>
    <w:rsid w:val="00633C60"/>
    <w:rsid w:val="00645C9F"/>
    <w:rsid w:val="00650775"/>
    <w:rsid w:val="0065388D"/>
    <w:rsid w:val="00655506"/>
    <w:rsid w:val="00674396"/>
    <w:rsid w:val="006849AD"/>
    <w:rsid w:val="006853A7"/>
    <w:rsid w:val="0069507F"/>
    <w:rsid w:val="006955DD"/>
    <w:rsid w:val="00697A98"/>
    <w:rsid w:val="006A0492"/>
    <w:rsid w:val="006A3DED"/>
    <w:rsid w:val="006A6E23"/>
    <w:rsid w:val="006B05FF"/>
    <w:rsid w:val="006C4D2E"/>
    <w:rsid w:val="006D3D60"/>
    <w:rsid w:val="006E1F9C"/>
    <w:rsid w:val="006E4A2C"/>
    <w:rsid w:val="006E721A"/>
    <w:rsid w:val="006F0E11"/>
    <w:rsid w:val="006F40C8"/>
    <w:rsid w:val="00700872"/>
    <w:rsid w:val="00706BB4"/>
    <w:rsid w:val="00714029"/>
    <w:rsid w:val="007203B6"/>
    <w:rsid w:val="007222C1"/>
    <w:rsid w:val="00725205"/>
    <w:rsid w:val="0074091B"/>
    <w:rsid w:val="00740927"/>
    <w:rsid w:val="00744302"/>
    <w:rsid w:val="00747C60"/>
    <w:rsid w:val="007732EA"/>
    <w:rsid w:val="00777EA3"/>
    <w:rsid w:val="007933F9"/>
    <w:rsid w:val="00793C7B"/>
    <w:rsid w:val="007954B6"/>
    <w:rsid w:val="007A5E22"/>
    <w:rsid w:val="007B3768"/>
    <w:rsid w:val="007B5395"/>
    <w:rsid w:val="007C38FB"/>
    <w:rsid w:val="007C6434"/>
    <w:rsid w:val="007D4E4C"/>
    <w:rsid w:val="007D5F13"/>
    <w:rsid w:val="007D69F8"/>
    <w:rsid w:val="007E4819"/>
    <w:rsid w:val="007E4E03"/>
    <w:rsid w:val="007E7289"/>
    <w:rsid w:val="00805F3F"/>
    <w:rsid w:val="00817A5D"/>
    <w:rsid w:val="00821209"/>
    <w:rsid w:val="00821491"/>
    <w:rsid w:val="00831411"/>
    <w:rsid w:val="00842536"/>
    <w:rsid w:val="00843692"/>
    <w:rsid w:val="0085135B"/>
    <w:rsid w:val="0085287C"/>
    <w:rsid w:val="008559B6"/>
    <w:rsid w:val="008559FD"/>
    <w:rsid w:val="00855E65"/>
    <w:rsid w:val="0085612E"/>
    <w:rsid w:val="00880868"/>
    <w:rsid w:val="00880D30"/>
    <w:rsid w:val="008811AD"/>
    <w:rsid w:val="008812FA"/>
    <w:rsid w:val="008B222B"/>
    <w:rsid w:val="008C138F"/>
    <w:rsid w:val="008C204C"/>
    <w:rsid w:val="008C2625"/>
    <w:rsid w:val="008C4FE2"/>
    <w:rsid w:val="008D4D6A"/>
    <w:rsid w:val="008F7014"/>
    <w:rsid w:val="009049E9"/>
    <w:rsid w:val="00907F9B"/>
    <w:rsid w:val="00911503"/>
    <w:rsid w:val="00917C2D"/>
    <w:rsid w:val="009209B6"/>
    <w:rsid w:val="00923CB4"/>
    <w:rsid w:val="009335E0"/>
    <w:rsid w:val="00941732"/>
    <w:rsid w:val="009510F3"/>
    <w:rsid w:val="00954018"/>
    <w:rsid w:val="00955590"/>
    <w:rsid w:val="00970435"/>
    <w:rsid w:val="009704EC"/>
    <w:rsid w:val="00971619"/>
    <w:rsid w:val="00982EAB"/>
    <w:rsid w:val="0098505E"/>
    <w:rsid w:val="00991480"/>
    <w:rsid w:val="009945A7"/>
    <w:rsid w:val="00995E63"/>
    <w:rsid w:val="0099643D"/>
    <w:rsid w:val="009969DC"/>
    <w:rsid w:val="00996BA5"/>
    <w:rsid w:val="009A0F79"/>
    <w:rsid w:val="009A3C75"/>
    <w:rsid w:val="009B03F2"/>
    <w:rsid w:val="009C4EE2"/>
    <w:rsid w:val="009D46B1"/>
    <w:rsid w:val="009E7F6E"/>
    <w:rsid w:val="009F2B6A"/>
    <w:rsid w:val="009F5541"/>
    <w:rsid w:val="00A01204"/>
    <w:rsid w:val="00A022BA"/>
    <w:rsid w:val="00A256AC"/>
    <w:rsid w:val="00A32BE3"/>
    <w:rsid w:val="00A4207A"/>
    <w:rsid w:val="00A5653E"/>
    <w:rsid w:val="00A63533"/>
    <w:rsid w:val="00A723C4"/>
    <w:rsid w:val="00A72D2B"/>
    <w:rsid w:val="00A820E9"/>
    <w:rsid w:val="00A82942"/>
    <w:rsid w:val="00A83E24"/>
    <w:rsid w:val="00AA20F8"/>
    <w:rsid w:val="00AA327B"/>
    <w:rsid w:val="00AA55AF"/>
    <w:rsid w:val="00AB19A5"/>
    <w:rsid w:val="00AC2FD6"/>
    <w:rsid w:val="00AC78FC"/>
    <w:rsid w:val="00AD4CFE"/>
    <w:rsid w:val="00AE79BA"/>
    <w:rsid w:val="00AF350E"/>
    <w:rsid w:val="00AF3D8F"/>
    <w:rsid w:val="00AF5273"/>
    <w:rsid w:val="00AF5D3D"/>
    <w:rsid w:val="00B0671C"/>
    <w:rsid w:val="00B13495"/>
    <w:rsid w:val="00B262DD"/>
    <w:rsid w:val="00B278DE"/>
    <w:rsid w:val="00B30287"/>
    <w:rsid w:val="00B30EBD"/>
    <w:rsid w:val="00B351C3"/>
    <w:rsid w:val="00B36AC9"/>
    <w:rsid w:val="00B36E7A"/>
    <w:rsid w:val="00B542CD"/>
    <w:rsid w:val="00B6465B"/>
    <w:rsid w:val="00B772D7"/>
    <w:rsid w:val="00B85451"/>
    <w:rsid w:val="00B86006"/>
    <w:rsid w:val="00B86D86"/>
    <w:rsid w:val="00BA2A96"/>
    <w:rsid w:val="00BA5FE5"/>
    <w:rsid w:val="00BC1FD9"/>
    <w:rsid w:val="00BC30FF"/>
    <w:rsid w:val="00BC500D"/>
    <w:rsid w:val="00BD7FD7"/>
    <w:rsid w:val="00BF1606"/>
    <w:rsid w:val="00BF1647"/>
    <w:rsid w:val="00BF5A25"/>
    <w:rsid w:val="00C06428"/>
    <w:rsid w:val="00C11347"/>
    <w:rsid w:val="00C35018"/>
    <w:rsid w:val="00C40A34"/>
    <w:rsid w:val="00C4484E"/>
    <w:rsid w:val="00C46F7C"/>
    <w:rsid w:val="00C519B5"/>
    <w:rsid w:val="00C55EDB"/>
    <w:rsid w:val="00C573E9"/>
    <w:rsid w:val="00C729DA"/>
    <w:rsid w:val="00C764B7"/>
    <w:rsid w:val="00C90B56"/>
    <w:rsid w:val="00CA3F25"/>
    <w:rsid w:val="00CB5B9D"/>
    <w:rsid w:val="00CB6428"/>
    <w:rsid w:val="00CC01A5"/>
    <w:rsid w:val="00CC2134"/>
    <w:rsid w:val="00CD255A"/>
    <w:rsid w:val="00D126EC"/>
    <w:rsid w:val="00D14955"/>
    <w:rsid w:val="00D24CD6"/>
    <w:rsid w:val="00D24FA6"/>
    <w:rsid w:val="00D544D2"/>
    <w:rsid w:val="00D660F8"/>
    <w:rsid w:val="00D744C5"/>
    <w:rsid w:val="00D827AF"/>
    <w:rsid w:val="00D8451F"/>
    <w:rsid w:val="00D8474D"/>
    <w:rsid w:val="00D84D5B"/>
    <w:rsid w:val="00D86771"/>
    <w:rsid w:val="00D90C73"/>
    <w:rsid w:val="00D90F17"/>
    <w:rsid w:val="00D9480E"/>
    <w:rsid w:val="00D94FFD"/>
    <w:rsid w:val="00DA7038"/>
    <w:rsid w:val="00DB4AF2"/>
    <w:rsid w:val="00DB572A"/>
    <w:rsid w:val="00DC14B3"/>
    <w:rsid w:val="00DC399C"/>
    <w:rsid w:val="00DC7D6D"/>
    <w:rsid w:val="00DD2999"/>
    <w:rsid w:val="00DD2B43"/>
    <w:rsid w:val="00DD2CF8"/>
    <w:rsid w:val="00DD5C58"/>
    <w:rsid w:val="00DE240B"/>
    <w:rsid w:val="00DE529C"/>
    <w:rsid w:val="00DE6D9E"/>
    <w:rsid w:val="00DF3482"/>
    <w:rsid w:val="00DF450F"/>
    <w:rsid w:val="00E04A58"/>
    <w:rsid w:val="00E07425"/>
    <w:rsid w:val="00E07A05"/>
    <w:rsid w:val="00E16025"/>
    <w:rsid w:val="00E167FD"/>
    <w:rsid w:val="00E16F50"/>
    <w:rsid w:val="00E24179"/>
    <w:rsid w:val="00E31783"/>
    <w:rsid w:val="00E36636"/>
    <w:rsid w:val="00E43A34"/>
    <w:rsid w:val="00E44D37"/>
    <w:rsid w:val="00E52850"/>
    <w:rsid w:val="00E609A5"/>
    <w:rsid w:val="00E61928"/>
    <w:rsid w:val="00E656D2"/>
    <w:rsid w:val="00E7276C"/>
    <w:rsid w:val="00E84382"/>
    <w:rsid w:val="00E9180B"/>
    <w:rsid w:val="00EA0646"/>
    <w:rsid w:val="00EA2BA4"/>
    <w:rsid w:val="00EA3103"/>
    <w:rsid w:val="00EB15C1"/>
    <w:rsid w:val="00EC325A"/>
    <w:rsid w:val="00EC3A8E"/>
    <w:rsid w:val="00EC57F0"/>
    <w:rsid w:val="00ED68AF"/>
    <w:rsid w:val="00EF2E7C"/>
    <w:rsid w:val="00F01A6E"/>
    <w:rsid w:val="00F11811"/>
    <w:rsid w:val="00F20178"/>
    <w:rsid w:val="00F23C6C"/>
    <w:rsid w:val="00F24BC8"/>
    <w:rsid w:val="00F25045"/>
    <w:rsid w:val="00F30F3E"/>
    <w:rsid w:val="00F32002"/>
    <w:rsid w:val="00F4605D"/>
    <w:rsid w:val="00F51EF5"/>
    <w:rsid w:val="00F74928"/>
    <w:rsid w:val="00F8197E"/>
    <w:rsid w:val="00F833B1"/>
    <w:rsid w:val="00F87D90"/>
    <w:rsid w:val="00F90495"/>
    <w:rsid w:val="00FA4179"/>
    <w:rsid w:val="00FB4362"/>
    <w:rsid w:val="00FB53A1"/>
    <w:rsid w:val="00FD30CF"/>
    <w:rsid w:val="00FE0E46"/>
    <w:rsid w:val="00FF0AEC"/>
    <w:rsid w:val="00FF1DF4"/>
    <w:rsid w:val="00FF4165"/>
    <w:rsid w:val="113741D2"/>
    <w:rsid w:val="1D34261E"/>
    <w:rsid w:val="1D584F32"/>
    <w:rsid w:val="1E797ACA"/>
    <w:rsid w:val="2D3C15A2"/>
    <w:rsid w:val="3CDF3C87"/>
    <w:rsid w:val="41C25B28"/>
    <w:rsid w:val="527E074E"/>
    <w:rsid w:val="579503FF"/>
    <w:rsid w:val="60535296"/>
    <w:rsid w:val="72F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nhideWhenUsed="0" w:uiPriority="0" w:semiHidden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uiPriority w:val="0"/>
    <w:pPr>
      <w:jc w:val="left"/>
    </w:p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uiPriority w:val="0"/>
    <w:rPr>
      <w:b/>
      <w:bCs/>
    </w:rPr>
  </w:style>
  <w:style w:type="character" w:styleId="10">
    <w:name w:val="line number"/>
    <w:uiPriority w:val="0"/>
  </w:style>
  <w:style w:type="character" w:styleId="11">
    <w:name w:val="annotation reference"/>
    <w:uiPriority w:val="0"/>
    <w:rPr>
      <w:sz w:val="21"/>
      <w:szCs w:val="21"/>
    </w:rPr>
  </w:style>
  <w:style w:type="character" w:customStyle="1" w:styleId="12">
    <w:name w:val="页脚 Char"/>
    <w:link w:val="5"/>
    <w:uiPriority w:val="0"/>
    <w:rPr>
      <w:sz w:val="18"/>
      <w:szCs w:val="18"/>
    </w:rPr>
  </w:style>
  <w:style w:type="character" w:customStyle="1" w:styleId="13">
    <w:name w:val="页眉 Char"/>
    <w:link w:val="6"/>
    <w:uiPriority w:val="0"/>
    <w:rPr>
      <w:sz w:val="18"/>
      <w:szCs w:val="18"/>
    </w:rPr>
  </w:style>
  <w:style w:type="paragraph" w:styleId="14">
    <w:name w:val="List Paragraph"/>
    <w:basedOn w:val="1"/>
    <w:qFormat/>
    <w:uiPriority w:val="0"/>
    <w:pPr>
      <w:ind w:firstLine="420" w:firstLineChars="200"/>
    </w:pPr>
  </w:style>
  <w:style w:type="character" w:customStyle="1" w:styleId="15">
    <w:name w:val="批注框文本 Char"/>
    <w:link w:val="4"/>
    <w:uiPriority w:val="0"/>
    <w:rPr>
      <w:kern w:val="2"/>
      <w:sz w:val="18"/>
      <w:szCs w:val="18"/>
    </w:rPr>
  </w:style>
  <w:style w:type="character" w:customStyle="1" w:styleId="16">
    <w:name w:val="标题 1 Char"/>
    <w:link w:val="2"/>
    <w:uiPriority w:val="0"/>
    <w:rPr>
      <w:rFonts w:ascii="Times New Roman" w:hAnsi="Times New Roman"/>
      <w:b/>
      <w:bCs/>
      <w:kern w:val="44"/>
      <w:sz w:val="44"/>
      <w:szCs w:val="44"/>
    </w:rPr>
  </w:style>
  <w:style w:type="paragraph" w:customStyle="1" w:styleId="17">
    <w:name w:val="TOC Heading"/>
    <w:basedOn w:val="2"/>
    <w:next w:val="1"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8">
    <w:name w:val="批注文字 Char"/>
    <w:link w:val="3"/>
    <w:autoRedefine/>
    <w:qFormat/>
    <w:uiPriority w:val="0"/>
    <w:rPr>
      <w:kern w:val="2"/>
      <w:sz w:val="21"/>
      <w:szCs w:val="22"/>
    </w:rPr>
  </w:style>
  <w:style w:type="character" w:customStyle="1" w:styleId="19">
    <w:name w:val="批注主题 Char"/>
    <w:link w:val="7"/>
    <w:uiPriority w:val="0"/>
    <w:rPr>
      <w:b/>
      <w:bCs/>
      <w:kern w:val="2"/>
      <w:sz w:val="21"/>
      <w:szCs w:val="22"/>
    </w:rPr>
  </w:style>
  <w:style w:type="character" w:customStyle="1" w:styleId="20">
    <w:name w:val="fontstyle01"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1">
    <w:name w:val="fontstyle21"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22">
    <w:name w:val="fontstyle11"/>
    <w:autoRedefine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3">
    <w:name w:val="fontstyle31"/>
    <w:uiPriority w:val="0"/>
    <w:rPr>
      <w:rFonts w:hint="default" w:ascii="TimesNewRomanPSMT" w:hAnsi="TimesNewRomanPSMT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</Company>
  <Pages>30</Pages>
  <Words>1440</Words>
  <Characters>8209</Characters>
  <Lines>68</Lines>
  <Paragraphs>19</Paragraphs>
  <TotalTime>1089</TotalTime>
  <ScaleCrop>false</ScaleCrop>
  <LinksUpToDate>false</LinksUpToDate>
  <CharactersWithSpaces>9630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2024-01-30T09:03:00Z</dcterms:created>
  <dc:creator>home</dc:creator>
  <cp:lastModifiedBy>岁月</cp:lastModifiedBy>
  <cp:lastPrinted>2022-02-15T07:45:00Z</cp:lastPrinted>
  <dcterms:modified xsi:type="dcterms:W3CDTF">2024-03-14T04:46:53Z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77DB7A646B72413090549A365D321A30_13</vt:lpwstr>
  </property>
</Properties>
</file>