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黄河文化公园东乡县洮河文化公园服务中心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2024年单位预算公开情况说明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2024年单位预算公开表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主要职责是：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河文化公园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整体工作，对接协调各相关部门收集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流域各种资料。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系统梳理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挖掘整理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融入公园建设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，协调各职能部门及时落实有关公园打造相关工作。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）负责制定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河文化公园整体发展规划，编制《黄河国家文化公园一一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河文化公园》项目可行性研究报告。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）积极规划争取申报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河文化公园项目，制定实施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并协调推进项目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负责建设完善园区内文物古迹、地质遗迹等保护设施，健全巡护制度，促进学习交流互动、进行科普和宣传教育，并做好园区相关资料的收集整理和归档。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负责组织筹备各种会议、活动策划及相关材料的申报工作，开展洮河文化公园对外文化旅游业务交流活动和宣传推介工作。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（七）负责洮河文化公园实时管理工作。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瀹嬩綋" w:hAnsi="瀹嬩綋" w:eastAsia="宋体" w:cs="瀹嬩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（八）承办文旅局交办的其他事项。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（一）直属事业单位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东乡县洮河文化公园服务中心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为财政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级预算单位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属于财政补助公益一类事业单位，执行政府会计制度。县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洮河文化公园服务中心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隶属于县文体广电和旅游局，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正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科级事业单位，事业编制人数13人，202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年年末实有人员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人，其中正科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人，副科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人，一般干部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213.43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单位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231.426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万元（详见单位预算公开表1,2）。包括：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231.426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2024年支出预算231.42万元（详见单位预算公开表3）。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</w:rPr>
        <w:t>221.42</w:t>
      </w:r>
      <w:r>
        <w:rPr>
          <w:rStyle w:val="20"/>
          <w:rFonts w:hint="default" w:hAnsi="仿宋"/>
        </w:rPr>
        <w:t>万元， 占</w:t>
      </w:r>
      <w:r>
        <w:rPr>
          <w:rStyle w:val="20"/>
          <w:rFonts w:hint="eastAsia" w:hAnsi="仿宋" w:eastAsia="仿宋_GB2312"/>
          <w:lang w:val="en-US" w:eastAsia="zh-CN"/>
        </w:rPr>
        <w:t>95.68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 项目支出</w:t>
      </w:r>
      <w:r>
        <w:rPr>
          <w:rStyle w:val="20"/>
          <w:rFonts w:hint="eastAsia" w:hAnsi="仿宋" w:eastAsia="仿宋_GB2312"/>
          <w:lang w:val="en-US" w:eastAsia="zh-CN"/>
        </w:rPr>
        <w:t>10.00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4.32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 上年结转</w:t>
      </w:r>
      <w:r>
        <w:rPr>
          <w:rStyle w:val="21"/>
          <w:rFonts w:hint="eastAsia" w:ascii="仿宋_GB2312" w:hAnsi="仿宋" w:eastAsia="仿宋_GB2312"/>
          <w:lang w:val="en-US" w:eastAsia="zh-CN"/>
        </w:rPr>
        <w:t>0.00</w:t>
      </w:r>
      <w:r>
        <w:rPr>
          <w:rStyle w:val="20"/>
          <w:rFonts w:hint="default" w:hAnsi="仿宋"/>
        </w:rPr>
        <w:t>万元， 占</w:t>
      </w:r>
      <w:r>
        <w:rPr>
          <w:rStyle w:val="21"/>
          <w:rFonts w:hint="eastAsia" w:ascii="仿宋_GB2312" w:hAnsi="仿宋" w:eastAsia="仿宋_GB2312"/>
          <w:lang w:val="en-US" w:eastAsia="zh-CN"/>
        </w:rPr>
        <w:t>0.00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Fonts w:hint="eastAsia" w:ascii="仿宋_GB2312" w:hAnsi="仿宋" w:eastAsia="仿宋_GB2312"/>
          <w:sz w:val="32"/>
          <w:szCs w:val="32"/>
        </w:rPr>
        <w:t>231.42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</w:rPr>
        <w:t>2.54</w:t>
      </w:r>
      <w:r>
        <w:rPr>
          <w:rStyle w:val="20"/>
          <w:rFonts w:hint="default" w:hAnsi="仿宋"/>
        </w:rPr>
        <w:t>万元、文化体育与传媒支出支出</w:t>
      </w:r>
      <w:r>
        <w:rPr>
          <w:rStyle w:val="21"/>
          <w:rFonts w:hint="eastAsia" w:ascii="仿宋_GB2312" w:hAnsi="仿宋" w:eastAsia="仿宋_GB2312"/>
        </w:rPr>
        <w:t>181.19</w:t>
      </w:r>
      <w:r>
        <w:rPr>
          <w:rStyle w:val="20"/>
          <w:rFonts w:hint="default" w:hAnsi="仿宋"/>
        </w:rPr>
        <w:t>万元、社会保障和就业支出</w:t>
      </w:r>
      <w:r>
        <w:rPr>
          <w:rStyle w:val="21"/>
          <w:rFonts w:hint="eastAsia" w:ascii="仿宋_GB2312" w:hAnsi="仿宋" w:eastAsia="仿宋_GB2312"/>
        </w:rPr>
        <w:t>20.98</w:t>
      </w:r>
      <w:r>
        <w:rPr>
          <w:rStyle w:val="20"/>
          <w:rFonts w:hint="default" w:hAnsi="仿宋"/>
        </w:rPr>
        <w:t>万元、医疗卫生与计划生育支出</w:t>
      </w:r>
      <w:r>
        <w:rPr>
          <w:rStyle w:val="21"/>
          <w:rFonts w:hint="eastAsia" w:ascii="仿宋_GB2312" w:hAnsi="仿宋" w:eastAsia="仿宋_GB2312"/>
        </w:rPr>
        <w:t>11.16</w:t>
      </w:r>
      <w:r>
        <w:rPr>
          <w:rStyle w:val="20"/>
          <w:rFonts w:hint="default" w:hAnsi="仿宋"/>
        </w:rPr>
        <w:t>万元</w:t>
      </w:r>
      <w:r>
        <w:rPr>
          <w:rStyle w:val="20"/>
          <w:rFonts w:hint="eastAsia" w:hAnsi="仿宋" w:eastAsia="仿宋_GB2312"/>
          <w:lang w:eastAsia="zh-CN"/>
        </w:rPr>
        <w:t>、住房保障支出15.54</w:t>
      </w:r>
      <w:r>
        <w:rPr>
          <w:rStyle w:val="20"/>
          <w:rFonts w:hint="eastAsia" w:hAnsi="仿宋" w:eastAsia="仿宋_GB2312"/>
          <w:lang w:val="en-US" w:eastAsia="zh-CN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（详见单位预算公开表4,5,6,7）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Style w:val="21"/>
          <w:rFonts w:hint="eastAsia" w:ascii="仿宋_GB2312" w:hAnsi="仿宋" w:eastAsia="仿宋_GB2312"/>
        </w:rPr>
        <w:t>221.42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116.19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110.41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上年度因单位新成立，收入中未计算部分员工收入。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203.44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生活补助、医疗费补助、奖励金、代缴社会保险费 、其他对个人和家庭的补助等。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17.98211万元，主要包括：办公费、印刷费、咨询费、手续费、水费、电费、邮电费、取暖费、差旅费、维修（护）费、租赁费、会议费、培训费、专用材料费、被装购置费、劳务费、委托业务费、工会经费、福利费、其他交通费用、其他商品和服务支出、办公设备购置、专用设备购置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" w:eastAsia="仿宋_GB2312"/>
          <w:sz w:val="32"/>
          <w:szCs w:val="32"/>
        </w:rPr>
        <w:t>万元，比2023年预算减少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5.2380</w:t>
      </w:r>
      <w:r>
        <w:rPr>
          <w:rFonts w:hint="eastAsia" w:ascii="仿宋_GB2312" w:hAnsi="仿宋" w:eastAsia="仿宋_GB2312"/>
          <w:sz w:val="32"/>
          <w:szCs w:val="32"/>
        </w:rPr>
        <w:t>万元，减少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34.37</w:t>
      </w:r>
      <w:r>
        <w:rPr>
          <w:rFonts w:hint="eastAsia" w:ascii="仿宋_GB2312" w:hAnsi="仿宋" w:eastAsia="仿宋_GB2312"/>
          <w:sz w:val="32"/>
          <w:szCs w:val="32"/>
        </w:rPr>
        <w:t xml:space="preserve"> %，减少的主要原因是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公益性岗位项目资金尚未下发。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保障运转经费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东乡县文化振兴发展研究工作经费10.00万元。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spacing w:line="6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1.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一般公共服务支出  </w:t>
      </w:r>
      <w:r>
        <w:rPr>
          <w:rFonts w:hint="eastAsia" w:ascii="仿宋_GB2312" w:hAnsi="黑体" w:eastAsia="仿宋_GB2312" w:cs="Times New Roman"/>
          <w:sz w:val="32"/>
          <w:szCs w:val="32"/>
        </w:rPr>
        <w:t>群众团体事务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年预算支出2.54016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黑体" w:eastAsia="仿宋_GB2312"/>
          <w:sz w:val="32"/>
          <w:szCs w:val="32"/>
        </w:rPr>
        <w:t>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无上年度对比数据。</w:t>
      </w:r>
      <w:r>
        <w:rPr>
          <w:rFonts w:hint="eastAsia" w:ascii="仿宋_GB2312" w:hAnsi="黑体" w:eastAsia="仿宋_GB2312"/>
          <w:sz w:val="32"/>
          <w:szCs w:val="32"/>
        </w:rPr>
        <w:t>其中： 工会事务202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年预算支出2.54016元，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主要原因是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上年度我单位工会还未成立，无相关数据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64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2.</w:t>
      </w:r>
      <w:r>
        <w:rPr>
          <w:rFonts w:hint="eastAsia" w:ascii="楷体_GB2312" w:hAnsi="黑体" w:eastAsia="楷体_GB2312" w:cs="Times New Roman"/>
          <w:b/>
          <w:sz w:val="32"/>
          <w:szCs w:val="32"/>
          <w:lang w:val="en-US" w:eastAsia="zh-CN"/>
        </w:rPr>
        <w:t>文化旅游体育与传媒支出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文化和旅游2024年预算支出181.19105万元，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无上年度对比数据。主要原因是上年度我单位新成立，无相关数据。</w:t>
      </w:r>
    </w:p>
    <w:p>
      <w:pPr>
        <w:spacing w:line="64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3.</w:t>
      </w:r>
      <w:r>
        <w:rPr>
          <w:rFonts w:hint="eastAsia" w:ascii="楷体_GB2312" w:hAnsi="黑体" w:eastAsia="楷体_GB2312"/>
          <w:b/>
          <w:sz w:val="32"/>
          <w:szCs w:val="32"/>
        </w:rPr>
        <w:t>社会保障和就业支出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</w:t>
      </w:r>
      <w:r>
        <w:rPr>
          <w:rFonts w:hint="eastAsia" w:ascii="仿宋_GB2312" w:hAnsi="宋体" w:eastAsia="仿宋_GB2312"/>
          <w:sz w:val="32"/>
          <w:szCs w:val="32"/>
        </w:rPr>
        <w:t>20.986803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黑体" w:eastAsia="仿宋_GB2312"/>
          <w:sz w:val="32"/>
          <w:szCs w:val="32"/>
        </w:rPr>
        <w:t>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无上年度对比数据。</w:t>
      </w:r>
      <w:r>
        <w:rPr>
          <w:rFonts w:hint="eastAsia" w:ascii="仿宋_GB2312" w:hAnsi="黑体" w:eastAsia="仿宋_GB2312"/>
          <w:sz w:val="32"/>
          <w:szCs w:val="32"/>
        </w:rPr>
        <w:t>其中：</w:t>
      </w:r>
      <w:r>
        <w:rPr>
          <w:rFonts w:hint="eastAsia" w:ascii="仿宋_GB2312" w:hAnsi="黑体" w:eastAsia="仿宋_GB2312" w:cs="Times New Roman"/>
          <w:sz w:val="32"/>
          <w:szCs w:val="32"/>
        </w:rPr>
        <w:t>行政事业单位养老支出</w:t>
      </w:r>
      <w:r>
        <w:rPr>
          <w:rFonts w:hint="eastAsia" w:ascii="仿宋_GB2312" w:hAnsi="黑体" w:eastAsia="仿宋_GB2312"/>
          <w:sz w:val="32"/>
          <w:szCs w:val="32"/>
        </w:rPr>
        <w:t>20.727706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黑体" w:eastAsia="仿宋_GB2312"/>
          <w:sz w:val="32"/>
          <w:szCs w:val="32"/>
        </w:rPr>
        <w:t>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,无上年度对比数据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，财政对工伤保险基金的补助0.259097万元，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，主要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是上年度我单位新成立，无相关数据。</w:t>
      </w:r>
    </w:p>
    <w:p>
      <w:pPr>
        <w:spacing w:line="64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4.</w:t>
      </w:r>
      <w:r>
        <w:rPr>
          <w:rFonts w:hint="eastAsia" w:ascii="楷体_GB2312" w:hAnsi="黑体" w:eastAsia="楷体_GB2312"/>
          <w:b/>
          <w:sz w:val="32"/>
          <w:szCs w:val="32"/>
        </w:rPr>
        <w:t>卫生健康支出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年预算支出11.162793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，其中</w:t>
      </w:r>
      <w:r>
        <w:rPr>
          <w:rFonts w:hint="eastAsia" w:ascii="仿宋_GB2312" w:hAnsi="黑体" w:eastAsia="仿宋_GB2312" w:cs="Times New Roman"/>
          <w:sz w:val="32"/>
          <w:szCs w:val="32"/>
        </w:rPr>
        <w:t>财政对职工基本医疗保险基金的补助</w:t>
      </w:r>
      <w:r>
        <w:rPr>
          <w:rFonts w:hint="eastAsia" w:ascii="仿宋_GB2312" w:hAnsi="黑体" w:eastAsia="仿宋_GB2312"/>
          <w:sz w:val="32"/>
          <w:szCs w:val="32"/>
        </w:rPr>
        <w:t>11.162793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，主要原因是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上年度我单位新成立，无相关数据。</w:t>
      </w:r>
    </w:p>
    <w:p>
      <w:pPr>
        <w:spacing w:line="64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5.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住房保障支出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住房改革支出</w:t>
      </w: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年预算支出15.545779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黑体" w:eastAsia="仿宋_GB2312"/>
          <w:sz w:val="32"/>
          <w:szCs w:val="32"/>
        </w:rPr>
        <w:t>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其中：住房公积金预算支出15.545779万元，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主要原因是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上年度我单位新成立，无相关数据。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五、部门（单位）一般公共预算财政拨款“三公”经费、培训费、会议费等情况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较2023年无变化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较2023年无变化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较2023年无变化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 xml:space="preserve">万元（其中：公务用车购置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较2023年无变化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较2023年无变化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较2023年无变化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机关运行经费25.44195万元，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无上年度对比数据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，主要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是上年度我单位新成立，无相关数据。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5.45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5.45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2024年，单位面向中小企业预留政府采购项目预算金额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5.45</w:t>
      </w:r>
      <w:r>
        <w:rPr>
          <w:rFonts w:hint="eastAsia" w:ascii="仿宋_GB2312" w:hAnsi="仿宋" w:eastAsia="仿宋_GB2312"/>
          <w:sz w:val="32"/>
          <w:szCs w:val="32"/>
        </w:rPr>
        <w:t xml:space="preserve"> 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5.45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因上年度我单位新成立，无2023年数据。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2024年未安排预算，政府性基金预算支出情况表为空表。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2024年本单位2024年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本单位年初预算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安排10.00万元项目资金，项目名称为东乡县文化振兴发展研究工作经费，主要用于洮河文化相关活动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未安排预算，单位管理转移支付表为空表。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2024年未安排国有资本经营预算支出，国有资本经营预算支出情况表为空表。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我单位没有</w:t>
      </w:r>
      <w:r>
        <w:rPr>
          <w:rFonts w:hint="eastAsia" w:ascii="仿宋_GB2312" w:hAnsi="仿宋" w:eastAsia="仿宋_GB2312"/>
          <w:sz w:val="32"/>
          <w:szCs w:val="32"/>
        </w:rPr>
        <w:t>纳入单位预算绩效目标管理的项目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单位支出预算的组成部分，是各单位为完成其特定的行政任务或事业发展目标，在基本支出预算之外编制的年度项目支出计划。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96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</w:rPr>
        <w:t>黄河文化公园东乡县洮河文化公园服务中心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黄河文化公园东乡县洮河文化公园服务中心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tabs>
          <w:tab w:val="left" w:pos="1848"/>
        </w:tabs>
      </w:pPr>
    </w:p>
    <w:p>
      <w:pPr>
        <w:tabs>
          <w:tab w:val="left" w:pos="1848"/>
        </w:tabs>
      </w:pPr>
      <w:bookmarkStart w:id="0" w:name="_GoBack"/>
      <w:bookmarkEnd w:id="0"/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2001"/>
        <w:gridCol w:w="2772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表一、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部门收支总体情况表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四、教育专户核算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六、上级补助收入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八、经营收入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十、卫生健康支出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十一、节能环保支出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十二、城乡社区支出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十三、农林水支出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十四、交通运输支出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十五、资源勘探工业信息等支出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十六、商业服务业等支出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十八、援助其他地区支出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十九、自然资源海洋气象等支出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二十、住房保障支出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二十一、粮油物资储备支出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二十二、国有资本经营预算支出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二十三、灾害防治及应急管理支出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二十四、预备费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二十五、其他支出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二十六、转移性支出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二十七、债务还本支出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二十八、债务付息支出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二十九、债务发行费用支出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三十、抗疫特别国债还本支出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 年 收 入 合 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　年　支　出　合　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3"/>
        <w:gridCol w:w="3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二、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部门收入总体情况表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一、一般公共预算资金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本年收入合计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财政性资金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教育专户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非财政性资金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7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050"/>
        <w:gridCol w:w="1110"/>
        <w:gridCol w:w="126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三、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部门支出总体情况表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工会事务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财政对其他社会保险基金的补助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财政对工伤保险基金的补助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财政对基本医疗保险基金的补助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财政对职工基本医疗保险基金的补助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919"/>
        <w:gridCol w:w="4322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四、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6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（一）一般公共预算财政拨款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（二）政府性基金预算财政拨款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（三）国有资本经营预算财政拨款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（七）文化体育与传媒支出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（十）医疗卫生与计划生育支出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（十九）国土海洋气象等支出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（二十二）国有资本经营预算支出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（二十三）灾害防治及应急管理支出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（二十四）预备费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（二十五）其他支出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（二十六）债务还本支出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（二十七）债务付息支出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（二十八）债务发行费用支出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出    总    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97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6"/>
        <w:gridCol w:w="756"/>
        <w:gridCol w:w="794"/>
        <w:gridCol w:w="792"/>
        <w:gridCol w:w="434"/>
        <w:gridCol w:w="785"/>
        <w:gridCol w:w="785"/>
        <w:gridCol w:w="434"/>
        <w:gridCol w:w="78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五、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财政拨款支出表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东乡族自治县文体广电和旅游局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黄河文化公园东乡县洮河文化公园服务中心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10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954"/>
        <w:gridCol w:w="1110"/>
        <w:gridCol w:w="1215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六、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5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221.426585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2.54016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2.54016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工会事务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2.54016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181.19105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171.19105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181.19105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171.19105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181.19105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171.19105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20.986803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20.986803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20.727706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20.727706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20.727706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20.727706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财政对其他社会保险基金的补助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0.259097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0.259097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2082702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财政对工伤保险基金的补助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0.259097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0.259097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11.162793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11.162793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财政对基本医疗保险基金的补助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11.162793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11.162793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2101201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财政对职工基本医疗保险基金的补助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11.162793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11.162793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15.545779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15.545779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15.545779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15.545779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15.545779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15.545779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590"/>
        <w:gridCol w:w="795"/>
        <w:gridCol w:w="2732"/>
        <w:gridCol w:w="2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七、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4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6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221.43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203.44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203.44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203.44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72"/>
        <w:gridCol w:w="1550"/>
        <w:gridCol w:w="1172"/>
        <w:gridCol w:w="1172"/>
        <w:gridCol w:w="1172"/>
        <w:gridCol w:w="1172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表八、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一般公共预算“三公”经费、会议费、培训费支出情况表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公务用车购置和运行费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834"/>
        <w:gridCol w:w="1680"/>
        <w:gridCol w:w="165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表九、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一般公共预算机关运行经费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9"/>
        <w:gridCol w:w="2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表十、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35"/>
        <w:gridCol w:w="1920"/>
        <w:gridCol w:w="2325"/>
        <w:gridCol w:w="3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表十一、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部门管理转移支付表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一般公共预算项目支出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政府性基金预算项目支出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tbl>
      <w:tblPr>
        <w:tblStyle w:val="8"/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2"/>
        <w:gridCol w:w="2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表十二、国有资本经营预算支出情况表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RiZGY3MGZmOTljNmY5YTFjMzczZjA5MTcwNWM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113741D2"/>
    <w:rsid w:val="1D34261E"/>
    <w:rsid w:val="1D584F32"/>
    <w:rsid w:val="1E797ACA"/>
    <w:rsid w:val="2D3C15A2"/>
    <w:rsid w:val="3CDF3C87"/>
    <w:rsid w:val="41C25B28"/>
    <w:rsid w:val="527E074E"/>
    <w:rsid w:val="579503FF"/>
    <w:rsid w:val="60535296"/>
    <w:rsid w:val="72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iPriority w:val="0"/>
    <w:pPr>
      <w:jc w:val="left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uiPriority w:val="0"/>
    <w:rPr>
      <w:b/>
      <w:bCs/>
    </w:rPr>
  </w:style>
  <w:style w:type="character" w:styleId="10">
    <w:name w:val="line number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脚 Char"/>
    <w:link w:val="5"/>
    <w:uiPriority w:val="0"/>
    <w:rPr>
      <w:sz w:val="18"/>
      <w:szCs w:val="18"/>
    </w:rPr>
  </w:style>
  <w:style w:type="character" w:customStyle="1" w:styleId="13">
    <w:name w:val="页眉 Char"/>
    <w:link w:val="6"/>
    <w:uiPriority w:val="0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1089</TotalTime>
  <ScaleCrop>false</ScaleCrop>
  <LinksUpToDate>false</LinksUpToDate>
  <CharactersWithSpaces>9630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岁月</cp:lastModifiedBy>
  <cp:lastPrinted>2022-02-15T07:45:00Z</cp:lastPrinted>
  <dcterms:modified xsi:type="dcterms:W3CDTF">2024-03-14T04:46:53Z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77DB7A646B72413090549A365D321A30_13</vt:lpwstr>
  </property>
</Properties>
</file>