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hint="default" w:ascii="楷体" w:hAnsi="楷体" w:eastAsia="方正小标宋简体"/>
          <w:sz w:val="30"/>
          <w:szCs w:val="30"/>
          <w:lang w:val="en-US" w:eastAsia="zh-CN"/>
        </w:rPr>
      </w:pPr>
      <w:r>
        <w:rPr>
          <w:rFonts w:hint="eastAsia" w:ascii="方正小标宋简体" w:eastAsia="方正小标宋简体"/>
          <w:sz w:val="72"/>
          <w:szCs w:val="72"/>
          <w:lang w:val="en-US" w:eastAsia="zh-CN"/>
        </w:rPr>
        <w:t>东乡县沿岭学区</w:t>
      </w:r>
      <w:r>
        <w:rPr>
          <w:rFonts w:hint="eastAsia" w:ascii="方正小标宋简体" w:eastAsia="方正小标宋简体"/>
          <w:sz w:val="72"/>
          <w:szCs w:val="72"/>
        </w:rPr>
        <w:t>部门</w:t>
      </w:r>
      <w:r>
        <w:rPr>
          <w:rFonts w:hint="eastAsia" w:ascii="方正小标宋简体" w:eastAsia="方正小标宋简体"/>
          <w:sz w:val="72"/>
          <w:szCs w:val="72"/>
          <w:lang w:val="en-US" w:eastAsia="zh-CN"/>
        </w:rPr>
        <w:t>决算</w:t>
      </w:r>
    </w:p>
    <w:p>
      <w:pPr>
        <w:jc w:val="center"/>
        <w:rPr>
          <w:rFonts w:hint="eastAsia"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ascii="仿宋_GB2312" w:hAnsi="黑体" w:eastAsia="仿宋_GB2312"/>
          <w:sz w:val="32"/>
          <w:szCs w:val="32"/>
        </w:rPr>
      </w:pPr>
      <w:r>
        <w:rPr>
          <w:rFonts w:hint="eastAsia" w:ascii="黑体" w:hAnsi="黑体" w:eastAsia="黑体"/>
          <w:sz w:val="48"/>
          <w:szCs w:val="48"/>
        </w:rPr>
        <w:t>目    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before="169" w:line="558" w:lineRule="exact"/>
        <w:ind w:left="690"/>
        <w:rPr>
          <w:rFonts w:ascii="仿宋" w:hAnsi="仿宋" w:eastAsia="仿宋" w:cs="仿宋"/>
          <w:sz w:val="32"/>
          <w:szCs w:val="32"/>
          <w:highlight w:val="none"/>
        </w:rPr>
      </w:pPr>
      <w:r>
        <w:rPr>
          <w:rFonts w:ascii="仿宋" w:hAnsi="仿宋" w:eastAsia="仿宋" w:cs="仿宋"/>
          <w:spacing w:val="6"/>
          <w:position w:val="17"/>
          <w:sz w:val="32"/>
          <w:szCs w:val="32"/>
          <w:highlight w:val="none"/>
        </w:rPr>
        <w:t>(一)制定符合党的教育方针和国家教育法律法规的小学教</w:t>
      </w:r>
      <w:r>
        <w:rPr>
          <w:rFonts w:hint="eastAsia" w:ascii="仿宋" w:hAnsi="仿宋" w:eastAsia="仿宋" w:cs="仿宋"/>
          <w:spacing w:val="6"/>
          <w:position w:val="17"/>
          <w:sz w:val="32"/>
          <w:szCs w:val="32"/>
          <w:highlight w:val="none"/>
          <w:lang w:val="en-US" w:eastAsia="zh-CN"/>
        </w:rPr>
        <w:t>育发展规划并抓好组织实施和落实工作。</w:t>
      </w:r>
    </w:p>
    <w:p>
      <w:pPr>
        <w:spacing w:before="177" w:line="324" w:lineRule="auto"/>
        <w:ind w:right="387" w:firstLine="690"/>
        <w:rPr>
          <w:rFonts w:ascii="仿宋" w:hAnsi="仿宋" w:eastAsia="仿宋" w:cs="仿宋"/>
          <w:sz w:val="32"/>
          <w:szCs w:val="32"/>
          <w:highlight w:val="none"/>
        </w:rPr>
      </w:pPr>
      <w:r>
        <w:rPr>
          <w:rFonts w:ascii="仿宋" w:hAnsi="仿宋" w:eastAsia="仿宋" w:cs="仿宋"/>
          <w:spacing w:val="-1"/>
          <w:sz w:val="32"/>
          <w:szCs w:val="32"/>
          <w:highlight w:val="none"/>
        </w:rPr>
        <w:t>(二)贯彻、执行教育法律法规和政策规定，坚持依法</w:t>
      </w:r>
      <w:r>
        <w:rPr>
          <w:rFonts w:ascii="仿宋" w:hAnsi="仿宋" w:eastAsia="仿宋" w:cs="仿宋"/>
          <w:spacing w:val="-2"/>
          <w:sz w:val="32"/>
          <w:szCs w:val="32"/>
          <w:highlight w:val="none"/>
        </w:rPr>
        <w:t>治教、</w:t>
      </w:r>
      <w:r>
        <w:rPr>
          <w:rFonts w:ascii="仿宋" w:hAnsi="仿宋" w:eastAsia="仿宋" w:cs="仿宋"/>
          <w:sz w:val="32"/>
          <w:szCs w:val="32"/>
          <w:highlight w:val="none"/>
        </w:rPr>
        <w:t xml:space="preserve"> </w:t>
      </w:r>
      <w:r>
        <w:rPr>
          <w:rFonts w:ascii="仿宋" w:hAnsi="仿宋" w:eastAsia="仿宋" w:cs="仿宋"/>
          <w:spacing w:val="-4"/>
          <w:sz w:val="32"/>
          <w:szCs w:val="32"/>
          <w:highlight w:val="none"/>
        </w:rPr>
        <w:t>依法治学。巩固提高“两基”工作成果和整体水平，配合教育局</w:t>
      </w:r>
      <w:r>
        <w:rPr>
          <w:rFonts w:ascii="仿宋" w:hAnsi="仿宋" w:eastAsia="仿宋" w:cs="仿宋"/>
          <w:spacing w:val="12"/>
          <w:sz w:val="32"/>
          <w:szCs w:val="32"/>
          <w:highlight w:val="none"/>
        </w:rPr>
        <w:t xml:space="preserve"> </w:t>
      </w:r>
      <w:r>
        <w:rPr>
          <w:rFonts w:ascii="仿宋" w:hAnsi="仿宋" w:eastAsia="仿宋" w:cs="仿宋"/>
          <w:spacing w:val="-4"/>
          <w:sz w:val="32"/>
          <w:szCs w:val="32"/>
          <w:highlight w:val="none"/>
        </w:rPr>
        <w:t>依法动员、组织适龄儿童少年入学，严格控制辍学，巩固两基成</w:t>
      </w:r>
      <w:r>
        <w:rPr>
          <w:rFonts w:ascii="仿宋" w:hAnsi="仿宋" w:eastAsia="仿宋" w:cs="仿宋"/>
          <w:spacing w:val="-17"/>
          <w:sz w:val="32"/>
          <w:szCs w:val="32"/>
          <w:highlight w:val="none"/>
        </w:rPr>
        <w:t>果。</w:t>
      </w:r>
    </w:p>
    <w:p>
      <w:pPr>
        <w:spacing w:before="171" w:line="565" w:lineRule="exact"/>
        <w:ind w:left="690"/>
        <w:jc w:val="both"/>
        <w:rPr>
          <w:rFonts w:hint="eastAsia" w:ascii="仿宋" w:hAnsi="仿宋" w:eastAsia="仿宋" w:cs="仿宋"/>
          <w:sz w:val="32"/>
          <w:szCs w:val="32"/>
          <w:highlight w:val="none"/>
          <w:lang w:eastAsia="zh-CN"/>
        </w:rPr>
      </w:pPr>
      <w:r>
        <w:rPr>
          <w:rFonts w:ascii="仿宋" w:hAnsi="仿宋" w:eastAsia="仿宋" w:cs="仿宋"/>
          <w:spacing w:val="1"/>
          <w:position w:val="18"/>
          <w:sz w:val="32"/>
          <w:szCs w:val="32"/>
          <w:highlight w:val="none"/>
        </w:rPr>
        <w:t>(三)指导、管理、检查、评价学区内学校的教育教学工作</w:t>
      </w:r>
      <w:r>
        <w:rPr>
          <w:rFonts w:hint="eastAsia" w:ascii="仿宋" w:hAnsi="仿宋" w:eastAsia="仿宋" w:cs="仿宋"/>
          <w:spacing w:val="1"/>
          <w:position w:val="18"/>
          <w:sz w:val="32"/>
          <w:szCs w:val="32"/>
          <w:highlight w:val="none"/>
          <w:lang w:eastAsia="zh-CN"/>
        </w:rPr>
        <w:t>，</w:t>
      </w:r>
      <w:r>
        <w:rPr>
          <w:rFonts w:ascii="仿宋" w:hAnsi="仿宋" w:eastAsia="仿宋" w:cs="仿宋"/>
          <w:spacing w:val="1"/>
          <w:position w:val="18"/>
          <w:sz w:val="32"/>
          <w:szCs w:val="32"/>
          <w:highlight w:val="none"/>
        </w:rPr>
        <w:t>提高办学质量和办学效益</w:t>
      </w:r>
      <w:r>
        <w:rPr>
          <w:rFonts w:hint="eastAsia" w:ascii="仿宋" w:hAnsi="仿宋" w:eastAsia="仿宋" w:cs="仿宋"/>
          <w:spacing w:val="1"/>
          <w:position w:val="18"/>
          <w:sz w:val="32"/>
          <w:szCs w:val="32"/>
          <w:highlight w:val="none"/>
          <w:lang w:eastAsia="zh-CN"/>
        </w:rPr>
        <w:t>。</w:t>
      </w:r>
    </w:p>
    <w:p>
      <w:pPr>
        <w:spacing w:before="168" w:line="564" w:lineRule="exact"/>
        <w:ind w:left="690"/>
        <w:rPr>
          <w:rFonts w:hint="default" w:ascii="仿宋" w:hAnsi="仿宋" w:eastAsia="仿宋" w:cs="仿宋"/>
          <w:sz w:val="32"/>
          <w:szCs w:val="32"/>
          <w:highlight w:val="none"/>
          <w:lang w:val="en-US" w:eastAsia="zh-CN"/>
        </w:rPr>
      </w:pPr>
      <w:r>
        <w:rPr>
          <w:rFonts w:ascii="仿宋" w:hAnsi="仿宋" w:eastAsia="仿宋" w:cs="仿宋"/>
          <w:spacing w:val="6"/>
          <w:position w:val="17"/>
          <w:sz w:val="32"/>
          <w:szCs w:val="32"/>
          <w:highlight w:val="none"/>
        </w:rPr>
        <w:t>(四)负责教育教学管理及教研教改工作，全</w:t>
      </w:r>
      <w:r>
        <w:rPr>
          <w:rFonts w:ascii="仿宋" w:hAnsi="仿宋" w:eastAsia="仿宋" w:cs="仿宋"/>
          <w:spacing w:val="5"/>
          <w:position w:val="17"/>
          <w:sz w:val="32"/>
          <w:szCs w:val="32"/>
          <w:highlight w:val="none"/>
        </w:rPr>
        <w:t>力推进素质教</w:t>
      </w:r>
      <w:r>
        <w:rPr>
          <w:rFonts w:hint="eastAsia" w:ascii="仿宋" w:hAnsi="仿宋" w:eastAsia="仿宋" w:cs="仿宋"/>
          <w:spacing w:val="5"/>
          <w:position w:val="17"/>
          <w:sz w:val="32"/>
          <w:szCs w:val="32"/>
          <w:highlight w:val="none"/>
          <w:lang w:val="en-US" w:eastAsia="zh-CN"/>
        </w:rPr>
        <w:t>育实施。</w:t>
      </w:r>
    </w:p>
    <w:p>
      <w:pPr>
        <w:spacing w:before="171" w:line="560" w:lineRule="exact"/>
        <w:ind w:left="690"/>
        <w:rPr>
          <w:rFonts w:ascii="仿宋" w:hAnsi="仿宋" w:eastAsia="仿宋" w:cs="仿宋"/>
          <w:sz w:val="32"/>
          <w:szCs w:val="32"/>
          <w:highlight w:val="none"/>
        </w:rPr>
      </w:pPr>
      <w:r>
        <w:rPr>
          <w:rFonts w:ascii="仿宋" w:hAnsi="仿宋" w:eastAsia="仿宋" w:cs="仿宋"/>
          <w:spacing w:val="5"/>
          <w:position w:val="17"/>
          <w:sz w:val="32"/>
          <w:szCs w:val="32"/>
          <w:highlight w:val="none"/>
        </w:rPr>
        <w:t>(五)协助上级教育主管部门做好学区教师考核工作，</w:t>
      </w:r>
      <w:r>
        <w:rPr>
          <w:rFonts w:ascii="仿宋" w:hAnsi="仿宋" w:eastAsia="仿宋" w:cs="仿宋"/>
          <w:spacing w:val="4"/>
          <w:position w:val="17"/>
          <w:sz w:val="32"/>
          <w:szCs w:val="32"/>
          <w:highlight w:val="none"/>
        </w:rPr>
        <w:t>负责教师管理、继续教育、考核考评等工作。</w:t>
      </w:r>
    </w:p>
    <w:p>
      <w:pPr>
        <w:spacing w:before="179" w:line="220" w:lineRule="auto"/>
        <w:ind w:left="690"/>
        <w:rPr>
          <w:rFonts w:ascii="仿宋" w:hAnsi="仿宋" w:eastAsia="仿宋" w:cs="仿宋"/>
          <w:sz w:val="32"/>
          <w:szCs w:val="32"/>
          <w:highlight w:val="none"/>
        </w:rPr>
      </w:pPr>
      <w:r>
        <w:rPr>
          <w:rFonts w:ascii="仿宋" w:hAnsi="仿宋" w:eastAsia="仿宋" w:cs="仿宋"/>
          <w:spacing w:val="-1"/>
          <w:sz w:val="32"/>
          <w:szCs w:val="32"/>
          <w:highlight w:val="none"/>
        </w:rPr>
        <w:t>(六)负责财务管理，筹措资金，改善办学条件等工作。</w:t>
      </w:r>
    </w:p>
    <w:p>
      <w:pPr>
        <w:spacing w:before="179" w:line="220" w:lineRule="auto"/>
        <w:ind w:left="690"/>
        <w:rPr>
          <w:rFonts w:ascii="仿宋_GB2312" w:hAnsi="宋体" w:eastAsia="仿宋_GB2312" w:cs="宋体"/>
          <w:kern w:val="0"/>
          <w:sz w:val="32"/>
          <w:szCs w:val="32"/>
          <w:highlight w:val="yellow"/>
        </w:rPr>
      </w:pPr>
      <w:r>
        <w:rPr>
          <w:rFonts w:ascii="仿宋" w:hAnsi="仿宋" w:eastAsia="仿宋" w:cs="仿宋"/>
          <w:spacing w:val="-2"/>
          <w:sz w:val="32"/>
          <w:szCs w:val="32"/>
          <w:highlight w:val="none"/>
        </w:rPr>
        <w:t>(七)完成当地政府和教育部门安排的各项工作任务。</w:t>
      </w:r>
    </w:p>
    <w:p>
      <w:pPr>
        <w:spacing w:line="640" w:lineRule="exact"/>
        <w:ind w:firstLine="645"/>
        <w:rPr>
          <w:rFonts w:hint="eastAsia" w:ascii="黑体" w:hAnsi="黑体" w:eastAsia="黑体"/>
          <w:sz w:val="32"/>
          <w:szCs w:val="32"/>
        </w:rPr>
      </w:pPr>
      <w:r>
        <w:rPr>
          <w:rFonts w:hint="eastAsia" w:ascii="黑体" w:hAnsi="黑体" w:eastAsia="黑体"/>
          <w:sz w:val="32"/>
          <w:szCs w:val="32"/>
        </w:rPr>
        <w:t>二、机构设置</w:t>
      </w:r>
    </w:p>
    <w:p>
      <w:pPr>
        <w:spacing w:before="104" w:line="323" w:lineRule="auto"/>
        <w:ind w:left="160" w:right="596" w:firstLine="660"/>
        <w:jc w:val="both"/>
        <w:rPr>
          <w:rFonts w:ascii="仿宋" w:hAnsi="仿宋" w:eastAsia="仿宋" w:cs="仿宋"/>
          <w:sz w:val="32"/>
          <w:szCs w:val="32"/>
          <w:highlight w:val="none"/>
        </w:rPr>
      </w:pPr>
      <w:r>
        <w:rPr>
          <w:rFonts w:ascii="仿宋" w:hAnsi="仿宋" w:eastAsia="仿宋" w:cs="仿宋"/>
          <w:spacing w:val="9"/>
          <w:sz w:val="32"/>
          <w:szCs w:val="32"/>
          <w:highlight w:val="none"/>
        </w:rPr>
        <w:t>根据上述职责，东乡族自治县中报希望学校(沿岭学区)</w:t>
      </w:r>
      <w:r>
        <w:rPr>
          <w:rFonts w:ascii="仿宋" w:hAnsi="仿宋" w:eastAsia="仿宋" w:cs="仿宋"/>
          <w:spacing w:val="8"/>
          <w:sz w:val="32"/>
          <w:szCs w:val="32"/>
          <w:highlight w:val="none"/>
        </w:rPr>
        <w:t>及</w:t>
      </w:r>
      <w:r>
        <w:rPr>
          <w:rFonts w:ascii="仿宋" w:hAnsi="仿宋" w:eastAsia="仿宋" w:cs="仿宋"/>
          <w:sz w:val="32"/>
          <w:szCs w:val="32"/>
          <w:highlight w:val="none"/>
        </w:rPr>
        <w:t xml:space="preserve"> 下设4个村校：和平小学、新星小学、红崖小学，三合沟小学均</w:t>
      </w:r>
      <w:r>
        <w:rPr>
          <w:rFonts w:ascii="仿宋" w:hAnsi="仿宋" w:eastAsia="仿宋" w:cs="仿宋"/>
          <w:spacing w:val="-2"/>
          <w:sz w:val="32"/>
          <w:szCs w:val="32"/>
          <w:highlight w:val="none"/>
        </w:rPr>
        <w:t>内设3个职能处(组、室):</w:t>
      </w:r>
    </w:p>
    <w:p>
      <w:pPr>
        <w:spacing w:before="104" w:line="318" w:lineRule="auto"/>
        <w:ind w:right="107"/>
        <w:jc w:val="both"/>
        <w:rPr>
          <w:rFonts w:ascii="仿宋" w:hAnsi="仿宋" w:eastAsia="仿宋" w:cs="仿宋"/>
          <w:spacing w:val="-3"/>
          <w:sz w:val="32"/>
          <w:szCs w:val="32"/>
          <w:highlight w:val="none"/>
        </w:rPr>
      </w:pPr>
      <w:r>
        <w:rPr>
          <w:rFonts w:ascii="仿宋" w:hAnsi="仿宋" w:eastAsia="仿宋" w:cs="仿宋"/>
          <w:spacing w:val="-3"/>
          <w:sz w:val="32"/>
          <w:szCs w:val="32"/>
          <w:highlight w:val="none"/>
        </w:rPr>
        <w:t>1.办公室</w:t>
      </w:r>
    </w:p>
    <w:p>
      <w:pPr>
        <w:spacing w:before="104" w:line="318" w:lineRule="auto"/>
        <w:ind w:right="107"/>
        <w:jc w:val="both"/>
        <w:rPr>
          <w:rFonts w:ascii="仿宋" w:hAnsi="仿宋" w:eastAsia="仿宋" w:cs="仿宋"/>
          <w:spacing w:val="-3"/>
          <w:sz w:val="32"/>
          <w:szCs w:val="32"/>
          <w:highlight w:val="none"/>
        </w:rPr>
      </w:pPr>
      <w:r>
        <w:rPr>
          <w:rFonts w:ascii="仿宋" w:hAnsi="仿宋" w:eastAsia="仿宋" w:cs="仿宋"/>
          <w:spacing w:val="-3"/>
          <w:sz w:val="32"/>
          <w:szCs w:val="32"/>
          <w:highlight w:val="none"/>
        </w:rPr>
        <w:t>主要职责： 配合教育局制定符合党的教育方针和国家教育法 律法规的教育发展规划并抓好组织实施和落实工作；贯彻、执行  教育法律法规和政策规定，坚持依法治教、依法治学。巩固提高“两基”工作成果和整体水平，配合教育局依法动员、组织适龄儿童少年入学，严格控制辍学，推进普及九年义务教育；指导、 管理、检查、评价学校的教育教学工作，提高办学质量和办学效 益；负责教育教学管理及教研教改工作，全力推进素质教育实施； 协助上级教育主管部门做好学校教师考核工作，负责教师管理、 继续教育、考核考评等工作；负责财务管理，筹措资金，改善办学条件等工作。</w:t>
      </w:r>
    </w:p>
    <w:p>
      <w:pPr>
        <w:spacing w:before="104" w:line="318" w:lineRule="auto"/>
        <w:ind w:right="107"/>
        <w:jc w:val="both"/>
        <w:rPr>
          <w:rFonts w:ascii="仿宋" w:hAnsi="仿宋" w:eastAsia="仿宋" w:cs="仿宋"/>
          <w:spacing w:val="-3"/>
          <w:sz w:val="32"/>
          <w:szCs w:val="32"/>
          <w:highlight w:val="none"/>
        </w:rPr>
      </w:pPr>
      <w:r>
        <w:rPr>
          <w:rFonts w:ascii="仿宋" w:hAnsi="仿宋" w:eastAsia="仿宋" w:cs="仿宋"/>
          <w:spacing w:val="-3"/>
          <w:sz w:val="32"/>
          <w:szCs w:val="32"/>
          <w:highlight w:val="none"/>
        </w:rPr>
        <w:t>2.教务处</w:t>
      </w:r>
    </w:p>
    <w:p>
      <w:pPr>
        <w:spacing w:before="104" w:line="318" w:lineRule="auto"/>
        <w:ind w:right="107"/>
        <w:jc w:val="both"/>
        <w:rPr>
          <w:rFonts w:hint="eastAsia" w:ascii="仿宋" w:hAnsi="仿宋" w:eastAsia="仿宋" w:cs="仿宋"/>
          <w:spacing w:val="-3"/>
          <w:sz w:val="32"/>
          <w:szCs w:val="32"/>
          <w:highlight w:val="none"/>
          <w:lang w:eastAsia="zh-CN"/>
        </w:rPr>
      </w:pPr>
      <w:r>
        <w:rPr>
          <w:rFonts w:ascii="仿宋" w:hAnsi="仿宋" w:eastAsia="仿宋" w:cs="仿宋"/>
          <w:spacing w:val="-3"/>
          <w:sz w:val="32"/>
          <w:szCs w:val="32"/>
          <w:highlight w:val="none"/>
        </w:rPr>
        <w:t>主要职责：协助校长制定并实施教育、教学工作计划；检查 并总结学校的教育教学工作；组织管理教学工作，指导各科教师 贯彻课程标准，执行教学计划，开展各种教学、教研活动，提高 教学质量；协助校长室、党支部、少先队对学生进行思想政治教 育，有针对性的开展教育活动，向学生进行劳动教育，组织校外 活动和家长会；组织安排学生的体育卫生和生活管理工作，抓好 “两课”、  “两操” (体育课、活动课、课间操、眼保健操和大 课间活动)和学校体育运动会。搞好卫生保健工作，关心师生的 身心健康；组织有关人员搞好招生、编班、学籍管理、考勤考绩、课程表编排、资料以及资料室、图书室、实验室、电教室的有关</w:t>
      </w:r>
      <w:r>
        <w:rPr>
          <w:rFonts w:hint="eastAsia" w:ascii="仿宋" w:hAnsi="仿宋" w:eastAsia="仿宋" w:cs="仿宋"/>
          <w:spacing w:val="-3"/>
          <w:sz w:val="32"/>
          <w:szCs w:val="32"/>
          <w:highlight w:val="none"/>
          <w:lang w:eastAsia="zh-CN"/>
        </w:rPr>
        <w:t>。</w:t>
      </w:r>
    </w:p>
    <w:p>
      <w:pPr>
        <w:numPr>
          <w:ilvl w:val="0"/>
          <w:numId w:val="2"/>
        </w:numPr>
        <w:spacing w:before="104" w:line="318" w:lineRule="auto"/>
        <w:ind w:right="107"/>
        <w:jc w:val="both"/>
        <w:rPr>
          <w:rFonts w:hint="eastAsia" w:ascii="仿宋" w:hAnsi="仿宋" w:eastAsia="仿宋" w:cs="仿宋"/>
          <w:spacing w:val="-3"/>
          <w:sz w:val="32"/>
          <w:szCs w:val="32"/>
          <w:highlight w:val="none"/>
          <w:lang w:val="en-US" w:eastAsia="zh-CN"/>
        </w:rPr>
      </w:pPr>
      <w:r>
        <w:rPr>
          <w:rFonts w:hint="eastAsia" w:ascii="仿宋" w:hAnsi="仿宋" w:eastAsia="仿宋" w:cs="仿宋"/>
          <w:spacing w:val="-3"/>
          <w:sz w:val="32"/>
          <w:szCs w:val="32"/>
          <w:highlight w:val="none"/>
          <w:lang w:val="en-US" w:eastAsia="zh-CN"/>
        </w:rPr>
        <w:t>教研组</w:t>
      </w:r>
    </w:p>
    <w:p>
      <w:pPr>
        <w:numPr>
          <w:ilvl w:val="0"/>
          <w:numId w:val="0"/>
        </w:numPr>
        <w:spacing w:before="191" w:line="223" w:lineRule="auto"/>
        <w:outlineLvl w:val="0"/>
        <w:rPr>
          <w:rFonts w:ascii="仿宋_GB2312" w:hAnsi="黑体" w:eastAsia="仿宋_GB2312"/>
          <w:b/>
          <w:sz w:val="44"/>
          <w:szCs w:val="44"/>
        </w:rPr>
      </w:pPr>
      <w:r>
        <w:rPr>
          <w:rFonts w:ascii="仿宋" w:hAnsi="仿宋" w:eastAsia="仿宋" w:cs="仿宋"/>
          <w:b/>
          <w:bCs/>
          <w:spacing w:val="-9"/>
          <w:sz w:val="32"/>
          <w:szCs w:val="32"/>
          <w:highlight w:val="none"/>
        </w:rPr>
        <w:t>主要职责：</w:t>
      </w:r>
      <w:r>
        <w:rPr>
          <w:rFonts w:ascii="仿宋" w:hAnsi="仿宋" w:eastAsia="仿宋" w:cs="仿宋"/>
          <w:spacing w:val="-17"/>
          <w:sz w:val="32"/>
          <w:szCs w:val="32"/>
          <w:highlight w:val="none"/>
        </w:rPr>
        <w:t xml:space="preserve"> </w:t>
      </w:r>
      <w:r>
        <w:rPr>
          <w:rFonts w:ascii="仿宋" w:hAnsi="仿宋" w:eastAsia="仿宋" w:cs="仿宋"/>
          <w:spacing w:val="-9"/>
          <w:sz w:val="32"/>
          <w:szCs w:val="32"/>
          <w:highlight w:val="none"/>
        </w:rPr>
        <w:t>领导并定期召开教研组会议，指导教研组制订具</w:t>
      </w:r>
      <w:r>
        <w:rPr>
          <w:rFonts w:ascii="仿宋" w:hAnsi="仿宋" w:eastAsia="仿宋" w:cs="仿宋"/>
          <w:sz w:val="32"/>
          <w:szCs w:val="32"/>
          <w:highlight w:val="none"/>
        </w:rPr>
        <w:t xml:space="preserve"> </w:t>
      </w:r>
      <w:r>
        <w:rPr>
          <w:rFonts w:ascii="仿宋" w:hAnsi="仿宋" w:eastAsia="仿宋" w:cs="仿宋"/>
          <w:spacing w:val="-3"/>
          <w:sz w:val="32"/>
          <w:szCs w:val="32"/>
          <w:highlight w:val="none"/>
        </w:rPr>
        <w:t>体教学工作计划，指导教研组的研究活动，帮助教研组总结交流</w:t>
      </w:r>
      <w:r>
        <w:rPr>
          <w:rFonts w:ascii="仿宋" w:hAnsi="仿宋" w:eastAsia="仿宋" w:cs="仿宋"/>
          <w:spacing w:val="-6"/>
          <w:sz w:val="32"/>
          <w:szCs w:val="32"/>
          <w:highlight w:val="none"/>
        </w:rPr>
        <w:t>教学经验；深入课堂听课，定期召开部分教师和学生的座谈会；</w:t>
      </w:r>
      <w:r>
        <w:rPr>
          <w:rFonts w:ascii="仿宋" w:hAnsi="仿宋" w:eastAsia="仿宋" w:cs="仿宋"/>
          <w:spacing w:val="3"/>
          <w:sz w:val="32"/>
          <w:szCs w:val="32"/>
          <w:highlight w:val="none"/>
        </w:rPr>
        <w:t>组织好“三课”(示范课、公开课、优质课),对外</w:t>
      </w:r>
      <w:r>
        <w:rPr>
          <w:rFonts w:ascii="仿宋" w:hAnsi="仿宋" w:eastAsia="仿宋" w:cs="仿宋"/>
          <w:spacing w:val="2"/>
          <w:sz w:val="32"/>
          <w:szCs w:val="32"/>
          <w:highlight w:val="none"/>
        </w:rPr>
        <w:t>公开课的赛教</w:t>
      </w:r>
      <w:r>
        <w:rPr>
          <w:rFonts w:ascii="仿宋" w:hAnsi="仿宋" w:eastAsia="仿宋" w:cs="仿宋"/>
          <w:sz w:val="32"/>
          <w:szCs w:val="32"/>
          <w:highlight w:val="none"/>
        </w:rPr>
        <w:t xml:space="preserve"> </w:t>
      </w:r>
      <w:r>
        <w:rPr>
          <w:rFonts w:ascii="仿宋" w:hAnsi="仿宋" w:eastAsia="仿宋" w:cs="仿宋"/>
          <w:spacing w:val="-5"/>
          <w:sz w:val="32"/>
          <w:szCs w:val="32"/>
          <w:highlight w:val="none"/>
        </w:rPr>
        <w:t>活动；组织开展学科竞赛和各科课外科技活动；负责科研课题的</w:t>
      </w:r>
      <w:r>
        <w:rPr>
          <w:rFonts w:ascii="仿宋" w:hAnsi="仿宋" w:eastAsia="仿宋" w:cs="仿宋"/>
          <w:spacing w:val="9"/>
          <w:sz w:val="32"/>
          <w:szCs w:val="32"/>
          <w:highlight w:val="none"/>
        </w:rPr>
        <w:t xml:space="preserve"> </w:t>
      </w:r>
      <w:r>
        <w:rPr>
          <w:rFonts w:ascii="仿宋" w:hAnsi="仿宋" w:eastAsia="仿宋" w:cs="仿宋"/>
          <w:spacing w:val="-27"/>
          <w:sz w:val="32"/>
          <w:szCs w:val="32"/>
          <w:highlight w:val="none"/>
        </w:rPr>
        <w:t>实施；与教导处共同负责“教坛新秀”、“教学能手”、</w:t>
      </w:r>
      <w:r>
        <w:rPr>
          <w:rFonts w:ascii="仿宋" w:hAnsi="仿宋" w:eastAsia="仿宋" w:cs="仿宋"/>
          <w:spacing w:val="-28"/>
          <w:sz w:val="32"/>
          <w:szCs w:val="32"/>
          <w:highlight w:val="none"/>
        </w:rPr>
        <w:t>“学科</w:t>
      </w:r>
      <w:r>
        <w:rPr>
          <w:rFonts w:ascii="仿宋" w:hAnsi="仿宋" w:eastAsia="仿宋" w:cs="仿宋"/>
          <w:spacing w:val="-15"/>
          <w:sz w:val="32"/>
          <w:szCs w:val="32"/>
          <w:highlight w:val="none"/>
        </w:rPr>
        <w:t>带头人”的评选推荐工作。</w:t>
      </w:r>
    </w:p>
    <w:p>
      <w:pPr>
        <w:spacing w:line="640" w:lineRule="exact"/>
        <w:jc w:val="center"/>
        <w:rPr>
          <w:rFonts w:ascii="黑体" w:hAnsi="黑体" w:eastAsia="黑体"/>
          <w:sz w:val="32"/>
          <w:szCs w:val="32"/>
        </w:rPr>
      </w:pPr>
      <w:r>
        <w:rPr>
          <w:rFonts w:hint="eastAsia" w:ascii="仿宋_GB2312" w:hAnsi="黑体" w:eastAsia="仿宋_GB2312"/>
          <w:b/>
          <w:sz w:val="52"/>
          <w:szCs w:val="52"/>
        </w:rPr>
        <w:t>第二部分  2022年</w:t>
      </w:r>
      <w:r>
        <w:rPr>
          <w:rFonts w:hint="eastAsia" w:ascii="仿宋_GB2312" w:hAnsi="黑体" w:eastAsia="仿宋_GB2312"/>
          <w:b/>
          <w:sz w:val="52"/>
          <w:szCs w:val="52"/>
          <w:lang w:val="en-US" w:eastAsia="zh-CN"/>
        </w:rPr>
        <w:t>度</w:t>
      </w:r>
      <w:r>
        <w:rPr>
          <w:rFonts w:hint="eastAsia" w:ascii="仿宋_GB2312" w:hAnsi="黑体" w:eastAsia="仿宋_GB2312"/>
          <w:b/>
          <w:sz w:val="52"/>
          <w:szCs w:val="52"/>
        </w:rPr>
        <w:t>部门</w:t>
      </w:r>
      <w:r>
        <w:rPr>
          <w:rFonts w:hint="eastAsia" w:ascii="仿宋_GB2312" w:hAnsi="黑体" w:eastAsia="仿宋_GB2312"/>
          <w:b/>
          <w:sz w:val="52"/>
          <w:szCs w:val="52"/>
          <w:lang w:eastAsia="zh-CN"/>
        </w:rPr>
        <w:t>决算</w:t>
      </w:r>
      <w:r>
        <w:rPr>
          <w:rFonts w:hint="eastAsia" w:ascii="仿宋_GB2312" w:hAnsi="黑体" w:eastAsia="仿宋_GB2312"/>
          <w:b/>
          <w:sz w:val="52"/>
          <w:szCs w:val="52"/>
        </w:rPr>
        <w:t xml:space="preserve">表格  </w:t>
      </w:r>
      <w:r>
        <w:rPr>
          <w:rFonts w:hint="eastAsia" w:ascii="仿宋_GB2312" w:hAnsi="黑体" w:eastAsia="仿宋_GB2312"/>
          <w:sz w:val="32"/>
          <w:szCs w:val="32"/>
        </w:rPr>
        <w:t xml:space="preserve">  </w:t>
      </w:r>
    </w:p>
    <w:p>
      <w:pPr>
        <w:pStyle w:val="12"/>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val="zh-CN"/>
        </w:rPr>
        <w:t>收入支出决算总表</w:t>
      </w:r>
    </w:p>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drawing>
          <wp:inline distT="0" distB="0" distL="114300" distR="114300">
            <wp:extent cx="8914130" cy="4352290"/>
            <wp:effectExtent l="0" t="0" r="1270" b="10160"/>
            <wp:docPr id="9" name="图片 9" descr="财政拨款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财政拨款总表"/>
                    <pic:cNvPicPr>
                      <a:picLocks noChangeAspect="1"/>
                    </pic:cNvPicPr>
                  </pic:nvPicPr>
                  <pic:blipFill>
                    <a:blip r:embed="rId4"/>
                    <a:stretch>
                      <a:fillRect/>
                    </a:stretch>
                  </pic:blipFill>
                  <pic:spPr>
                    <a:xfrm>
                      <a:off x="0" y="0"/>
                      <a:ext cx="8914130" cy="4352290"/>
                    </a:xfrm>
                    <a:prstGeom prst="rect">
                      <a:avLst/>
                    </a:prstGeom>
                  </pic:spPr>
                </pic:pic>
              </a:graphicData>
            </a:graphic>
          </wp:inline>
        </w:drawing>
      </w:r>
    </w:p>
    <w:p>
      <w:pPr>
        <w:pStyle w:val="12"/>
        <w:numPr>
          <w:numId w:val="0"/>
        </w:numPr>
        <w:ind w:left="710" w:left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val="zh-CN"/>
        </w:rPr>
        <w:t>收入决算表</w:t>
      </w:r>
    </w:p>
    <w:p>
      <w:pPr>
        <w:pStyle w:val="12"/>
        <w:ind w:left="1270" w:firstLine="960" w:firstLineChars="3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见附件《东乡族自治县沿岭学区2022年度决算公开表格02表》</w:t>
      </w:r>
    </w:p>
    <w:p>
      <w:pPr>
        <w:pStyle w:val="12"/>
        <w:ind w:left="0" w:leftChars="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drawing>
          <wp:inline distT="0" distB="0" distL="114300" distR="114300">
            <wp:extent cx="8851900" cy="4243705"/>
            <wp:effectExtent l="0" t="0" r="6350" b="4445"/>
            <wp:docPr id="10" name="图片 10" descr="收入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收入表"/>
                    <pic:cNvPicPr>
                      <a:picLocks noChangeAspect="1"/>
                    </pic:cNvPicPr>
                  </pic:nvPicPr>
                  <pic:blipFill>
                    <a:blip r:embed="rId5"/>
                    <a:stretch>
                      <a:fillRect/>
                    </a:stretch>
                  </pic:blipFill>
                  <pic:spPr>
                    <a:xfrm>
                      <a:off x="0" y="0"/>
                      <a:ext cx="8851900" cy="4243705"/>
                    </a:xfrm>
                    <a:prstGeom prst="rect">
                      <a:avLst/>
                    </a:prstGeom>
                  </pic:spPr>
                </pic:pic>
              </a:graphicData>
            </a:graphic>
          </wp:inline>
        </w:drawing>
      </w:r>
    </w:p>
    <w:p>
      <w:pPr>
        <w:pStyle w:val="12"/>
        <w:numPr>
          <w:numId w:val="0"/>
        </w:numPr>
        <w:ind w:left="710" w:left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val="zh-CN"/>
        </w:rPr>
        <w:t>支出决算表</w:t>
      </w:r>
    </w:p>
    <w:p>
      <w:pPr>
        <w:pStyle w:val="12"/>
        <w:ind w:left="1270" w:firstLine="960" w:firstLineChars="3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见附表《东乡族自治县沿岭学区2022年度决算公开表格03表》</w:t>
      </w:r>
    </w:p>
    <w:p>
      <w:pPr>
        <w:pStyle w:val="12"/>
        <w:ind w:left="0" w:leftChars="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drawing>
          <wp:inline distT="0" distB="0" distL="114300" distR="114300">
            <wp:extent cx="8864600" cy="4306570"/>
            <wp:effectExtent l="0" t="0" r="12700" b="17780"/>
            <wp:docPr id="11" name="图片 11" descr="支出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支出表"/>
                    <pic:cNvPicPr>
                      <a:picLocks noChangeAspect="1"/>
                    </pic:cNvPicPr>
                  </pic:nvPicPr>
                  <pic:blipFill>
                    <a:blip r:embed="rId6"/>
                    <a:stretch>
                      <a:fillRect/>
                    </a:stretch>
                  </pic:blipFill>
                  <pic:spPr>
                    <a:xfrm>
                      <a:off x="0" y="0"/>
                      <a:ext cx="8864600" cy="4306570"/>
                    </a:xfrm>
                    <a:prstGeom prst="rect">
                      <a:avLst/>
                    </a:prstGeom>
                  </pic:spPr>
                </pic:pic>
              </a:graphicData>
            </a:graphic>
          </wp:inline>
        </w:drawing>
      </w:r>
    </w:p>
    <w:p>
      <w:pPr>
        <w:pStyle w:val="12"/>
        <w:numPr>
          <w:numId w:val="0"/>
        </w:num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val="zh-CN"/>
        </w:rPr>
        <w:t>财政拨款收入支出决算总表</w:t>
      </w:r>
    </w:p>
    <w:p>
      <w:pPr>
        <w:ind w:firstLine="2240" w:firstLineChars="7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见附表《东乡族自治县沿岭学区2022年度决算公开表格04表》</w:t>
      </w:r>
      <w:r>
        <w:rPr>
          <w:rFonts w:hint="eastAsia" w:ascii="仿宋_GB2312" w:hAnsi="仿宋_GB2312" w:eastAsia="仿宋_GB2312" w:cs="仿宋_GB2312"/>
          <w:sz w:val="32"/>
          <w:szCs w:val="32"/>
          <w:lang w:val="zh-CN"/>
        </w:rPr>
        <w:drawing>
          <wp:inline distT="0" distB="0" distL="114300" distR="114300">
            <wp:extent cx="8841740" cy="4322445"/>
            <wp:effectExtent l="0" t="0" r="16510" b="1905"/>
            <wp:docPr id="12" name="图片 12" descr="财政拨款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财政拨款总表"/>
                    <pic:cNvPicPr>
                      <a:picLocks noChangeAspect="1"/>
                    </pic:cNvPicPr>
                  </pic:nvPicPr>
                  <pic:blipFill>
                    <a:blip r:embed="rId4"/>
                    <a:stretch>
                      <a:fillRect/>
                    </a:stretch>
                  </pic:blipFill>
                  <pic:spPr>
                    <a:xfrm>
                      <a:off x="0" y="0"/>
                      <a:ext cx="8841740" cy="4322445"/>
                    </a:xfrm>
                    <a:prstGeom prst="rect">
                      <a:avLst/>
                    </a:prstGeom>
                  </pic:spPr>
                </pic:pic>
              </a:graphicData>
            </a:graphic>
          </wp:inline>
        </w:drawing>
      </w:r>
    </w:p>
    <w:p>
      <w:pPr>
        <w:pStyle w:val="12"/>
        <w:numPr>
          <w:numId w:val="0"/>
        </w:num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val="zh-CN"/>
        </w:rPr>
        <w:t>一般公共预算财政拨款收入支出决算表</w:t>
      </w:r>
    </w:p>
    <w:p>
      <w:pPr>
        <w:pStyle w:val="12"/>
        <w:ind w:left="1270" w:firstLine="960" w:firstLineChars="3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见附表《东乡族自治县沿岭学区2022年度决算公开表格05表》</w:t>
      </w:r>
    </w:p>
    <w:p>
      <w:pPr>
        <w:pStyle w:val="12"/>
        <w:ind w:left="0" w:leftChars="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drawing>
          <wp:inline distT="0" distB="0" distL="114300" distR="114300">
            <wp:extent cx="8921750" cy="4308475"/>
            <wp:effectExtent l="0" t="0" r="12700" b="15875"/>
            <wp:docPr id="13" name="图片 13" descr="一般公共预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一般公共预算"/>
                    <pic:cNvPicPr>
                      <a:picLocks noChangeAspect="1"/>
                    </pic:cNvPicPr>
                  </pic:nvPicPr>
                  <pic:blipFill>
                    <a:blip r:embed="rId7"/>
                    <a:stretch>
                      <a:fillRect/>
                    </a:stretch>
                  </pic:blipFill>
                  <pic:spPr>
                    <a:xfrm>
                      <a:off x="0" y="0"/>
                      <a:ext cx="8921750" cy="4308475"/>
                    </a:xfrm>
                    <a:prstGeom prst="rect">
                      <a:avLst/>
                    </a:prstGeom>
                  </pic:spPr>
                </pic:pic>
              </a:graphicData>
            </a:graphic>
          </wp:inline>
        </w:drawing>
      </w:r>
    </w:p>
    <w:p>
      <w:pPr>
        <w:pStyle w:val="12"/>
        <w:numPr>
          <w:numId w:val="0"/>
        </w:num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val="zh-CN"/>
        </w:rPr>
        <w:t>一般公共预算财政拨款基本支出决算明细表</w:t>
      </w:r>
    </w:p>
    <w:p>
      <w:pPr>
        <w:pStyle w:val="12"/>
        <w:ind w:left="1270"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见附表《东乡族自治县沿岭学区2022年度决算公开表格06表》</w:t>
      </w:r>
    </w:p>
    <w:p>
      <w:pPr>
        <w:pStyle w:val="12"/>
        <w:ind w:left="0" w:leftChars="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drawing>
          <wp:inline distT="0" distB="0" distL="114300" distR="114300">
            <wp:extent cx="8860155" cy="4286250"/>
            <wp:effectExtent l="0" t="0" r="17145" b="0"/>
            <wp:docPr id="14" name="图片 14" descr="一般预算支出明细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一般预算支出明细表"/>
                    <pic:cNvPicPr>
                      <a:picLocks noChangeAspect="1"/>
                    </pic:cNvPicPr>
                  </pic:nvPicPr>
                  <pic:blipFill>
                    <a:blip r:embed="rId8"/>
                    <a:stretch>
                      <a:fillRect/>
                    </a:stretch>
                  </pic:blipFill>
                  <pic:spPr>
                    <a:xfrm>
                      <a:off x="0" y="0"/>
                      <a:ext cx="8860155" cy="4286250"/>
                    </a:xfrm>
                    <a:prstGeom prst="rect">
                      <a:avLst/>
                    </a:prstGeom>
                  </pic:spPr>
                </pic:pic>
              </a:graphicData>
            </a:graphic>
          </wp:inline>
        </w:drawing>
      </w:r>
    </w:p>
    <w:p>
      <w:pPr>
        <w:jc w:val="left"/>
        <w:rPr>
          <w:rFonts w:ascii="仿宋_GB2312" w:hAnsi="仿宋_GB2312" w:eastAsia="仿宋_GB2312" w:cs="仿宋_GB2312"/>
          <w:sz w:val="32"/>
          <w:szCs w:val="32"/>
          <w:lang w:val="zh-CN"/>
        </w:rPr>
      </w:pPr>
    </w:p>
    <w:p>
      <w:pPr>
        <w:numPr>
          <w:ilvl w:val="0"/>
          <w:numId w:val="3"/>
        </w:num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政府性基金预算财政拨款收入支出决算表</w:t>
      </w:r>
    </w:p>
    <w:p>
      <w:pPr>
        <w:pStyle w:val="12"/>
        <w:ind w:left="1270" w:firstLine="960" w:firstLineChars="3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见附表《东乡族自治县沿岭学区2022年度决算公开表格07》</w:t>
      </w:r>
    </w:p>
    <w:p>
      <w:pPr>
        <w:pStyle w:val="12"/>
        <w:ind w:left="0" w:leftChars="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drawing>
          <wp:inline distT="0" distB="0" distL="114300" distR="114300">
            <wp:extent cx="8853805" cy="3782060"/>
            <wp:effectExtent l="0" t="0" r="4445" b="8890"/>
            <wp:docPr id="15" name="图片 15" descr="政府性资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政府性资金"/>
                    <pic:cNvPicPr>
                      <a:picLocks noChangeAspect="1"/>
                    </pic:cNvPicPr>
                  </pic:nvPicPr>
                  <pic:blipFill>
                    <a:blip r:embed="rId9"/>
                    <a:stretch>
                      <a:fillRect/>
                    </a:stretch>
                  </pic:blipFill>
                  <pic:spPr>
                    <a:xfrm>
                      <a:off x="0" y="0"/>
                      <a:ext cx="8853805" cy="3782060"/>
                    </a:xfrm>
                    <a:prstGeom prst="rect">
                      <a:avLst/>
                    </a:prstGeom>
                  </pic:spPr>
                </pic:pic>
              </a:graphicData>
            </a:graphic>
          </wp:inline>
        </w:drawing>
      </w:r>
    </w:p>
    <w:p>
      <w:pPr>
        <w:pStyle w:val="12"/>
        <w:numPr>
          <w:numId w:val="0"/>
        </w:num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val="zh-CN"/>
        </w:rPr>
        <w:t>国有资本经营预算财政拨款支出决算表</w:t>
      </w:r>
    </w:p>
    <w:p>
      <w:pPr>
        <w:pStyle w:val="12"/>
        <w:ind w:left="1270"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见附表《东乡族自治县沿岭学区2022年度决算公开表格08表》</w:t>
      </w:r>
    </w:p>
    <w:p>
      <w:pPr>
        <w:pStyle w:val="12"/>
        <w:ind w:left="0" w:leftChars="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drawing>
          <wp:inline distT="0" distB="0" distL="114300" distR="114300">
            <wp:extent cx="8899525" cy="4033520"/>
            <wp:effectExtent l="0" t="0" r="15875" b="5080"/>
            <wp:docPr id="16" name="图片 16" descr="固定资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固定资产"/>
                    <pic:cNvPicPr>
                      <a:picLocks noChangeAspect="1"/>
                    </pic:cNvPicPr>
                  </pic:nvPicPr>
                  <pic:blipFill>
                    <a:blip r:embed="rId10"/>
                    <a:stretch>
                      <a:fillRect/>
                    </a:stretch>
                  </pic:blipFill>
                  <pic:spPr>
                    <a:xfrm>
                      <a:off x="0" y="0"/>
                      <a:ext cx="8899525" cy="4033520"/>
                    </a:xfrm>
                    <a:prstGeom prst="rect">
                      <a:avLst/>
                    </a:prstGeom>
                  </pic:spPr>
                </pic:pic>
              </a:graphicData>
            </a:graphic>
          </wp:inline>
        </w:drawing>
      </w:r>
    </w:p>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640" w:lineRule="exact"/>
        <w:ind w:left="640" w:firstLine="1600" w:firstLineChars="5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见附表《东乡族自治县沿岭学区2022年度决算公开表格09表》</w:t>
      </w:r>
    </w:p>
    <w:p>
      <w:pPr>
        <w:spacing w:line="240" w:lineRule="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drawing>
          <wp:inline distT="0" distB="0" distL="114300" distR="114300">
            <wp:extent cx="8862060" cy="3765550"/>
            <wp:effectExtent l="0" t="0" r="15240" b="6350"/>
            <wp:docPr id="18" name="图片 18" descr="三公支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三公支出"/>
                    <pic:cNvPicPr>
                      <a:picLocks noChangeAspect="1"/>
                    </pic:cNvPicPr>
                  </pic:nvPicPr>
                  <pic:blipFill>
                    <a:blip r:embed="rId11"/>
                    <a:stretch>
                      <a:fillRect/>
                    </a:stretch>
                  </pic:blipFill>
                  <pic:spPr>
                    <a:xfrm>
                      <a:off x="0" y="0"/>
                      <a:ext cx="8862060" cy="3765550"/>
                    </a:xfrm>
                    <a:prstGeom prst="rect">
                      <a:avLst/>
                    </a:prstGeom>
                  </pic:spPr>
                </pic:pic>
              </a:graphicData>
            </a:graphic>
          </wp:inline>
        </w:drawing>
      </w: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 xml:space="preserve">第三部分  </w:t>
      </w:r>
      <w:r>
        <w:rPr>
          <w:rFonts w:hint="eastAsia" w:ascii="仿宋_GB2312" w:hAnsi="黑体" w:eastAsia="仿宋_GB2312"/>
          <w:b/>
          <w:sz w:val="52"/>
          <w:szCs w:val="52"/>
          <w:lang w:val="en-US" w:eastAsia="zh-CN"/>
        </w:rPr>
        <w:t>2022年度</w:t>
      </w:r>
      <w:r>
        <w:rPr>
          <w:rFonts w:hint="eastAsia" w:ascii="仿宋_GB2312" w:hAnsi="黑体" w:eastAsia="仿宋_GB2312"/>
          <w:b/>
          <w:sz w:val="52"/>
          <w:szCs w:val="52"/>
        </w:rPr>
        <w:t>部门</w:t>
      </w:r>
      <w:r>
        <w:rPr>
          <w:rFonts w:hint="eastAsia" w:ascii="仿宋_GB2312" w:hAnsi="黑体" w:eastAsia="仿宋_GB2312"/>
          <w:b/>
          <w:sz w:val="52"/>
          <w:szCs w:val="52"/>
          <w:lang w:eastAsia="zh-CN"/>
        </w:rPr>
        <w:t>决算</w:t>
      </w:r>
      <w:r>
        <w:rPr>
          <w:rFonts w:hint="eastAsia" w:ascii="仿宋_GB2312" w:hAnsi="黑体" w:eastAsia="仿宋_GB2312"/>
          <w:b/>
          <w:sz w:val="52"/>
          <w:szCs w:val="52"/>
        </w:rPr>
        <w:t>情况说明</w:t>
      </w:r>
      <w:r>
        <w:rPr>
          <w:rFonts w:hint="eastAsia" w:ascii="仿宋_GB2312" w:hAnsi="黑体" w:eastAsia="仿宋_GB2312"/>
          <w:sz w:val="32"/>
          <w:szCs w:val="32"/>
        </w:rPr>
        <w:t xml:space="preserve">  </w:t>
      </w:r>
    </w:p>
    <w:p>
      <w:pPr>
        <w:jc w:val="left"/>
        <w:rPr>
          <w:rFonts w:hint="eastAsia" w:ascii="仿宋_GB2312" w:hAnsi="仿宋_GB2312" w:eastAsia="仿宋_GB2312" w:cs="仿宋_GB2312"/>
          <w:b/>
          <w:sz w:val="32"/>
          <w:szCs w:val="32"/>
          <w:lang w:val="zh-CN"/>
        </w:rPr>
      </w:pP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本部门（本单位）收入总计111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6032.92元，支出总计10319310.64元，</w:t>
      </w:r>
      <w:r>
        <w:rPr>
          <w:rFonts w:hint="eastAsia" w:ascii="仿宋_GB2312" w:hAnsi="仿宋_GB2312" w:eastAsia="仿宋_GB2312" w:cs="仿宋_GB2312"/>
          <w:color w:val="000000"/>
          <w:sz w:val="32"/>
          <w:szCs w:val="32"/>
          <w:lang w:val="en-US" w:eastAsia="zh-CN"/>
        </w:rPr>
        <w:t>年末结转和结余882799.63元（2022年度教师养老保险费和部分医疗保险费），</w:t>
      </w:r>
      <w:r>
        <w:rPr>
          <w:rFonts w:hint="eastAsia" w:ascii="仿宋_GB2312" w:hAnsi="仿宋_GB2312" w:eastAsia="仿宋_GB2312" w:cs="仿宋_GB2312"/>
          <w:color w:val="000000"/>
          <w:sz w:val="32"/>
          <w:szCs w:val="32"/>
        </w:rPr>
        <w:t>与2021年决算数相比，增长1</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%，支出总计10319310.64元，与2021年决算数相比增长</w:t>
      </w:r>
      <w:r>
        <w:rPr>
          <w:rFonts w:hint="eastAsia" w:ascii="仿宋_GB2312" w:hAnsi="仿宋_GB2312" w:eastAsia="仿宋_GB2312" w:cs="仿宋_GB2312"/>
          <w:color w:val="000000"/>
          <w:sz w:val="32"/>
          <w:szCs w:val="32"/>
          <w:lang w:val="en-US" w:eastAsia="zh-CN"/>
        </w:rPr>
        <w:t>10.2</w:t>
      </w:r>
      <w:r>
        <w:rPr>
          <w:rFonts w:hint="eastAsia" w:ascii="仿宋_GB2312" w:hAnsi="仿宋_GB2312" w:eastAsia="仿宋_GB2312" w:cs="仿宋_GB2312"/>
          <w:color w:val="000000"/>
          <w:sz w:val="32"/>
          <w:szCs w:val="32"/>
        </w:rPr>
        <w:t>%。主要原因是2022年单位人员增加。</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color w:val="000000"/>
          <w:sz w:val="32"/>
          <w:szCs w:val="32"/>
        </w:rPr>
        <w:t>111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6032.92</w:t>
      </w:r>
      <w:r>
        <w:rPr>
          <w:rFonts w:hint="eastAsia" w:ascii="仿宋_GB2312" w:hAnsi="仿宋_GB2312" w:eastAsia="仿宋_GB2312" w:cs="仿宋_GB2312"/>
          <w:sz w:val="32"/>
          <w:szCs w:val="32"/>
          <w:lang w:val="zh-CN"/>
        </w:rPr>
        <w:t>元,其中：财政拨款收入</w:t>
      </w:r>
      <w:r>
        <w:rPr>
          <w:rFonts w:hint="eastAsia" w:ascii="仿宋_GB2312" w:hAnsi="仿宋_GB2312" w:eastAsia="仿宋_GB2312" w:cs="仿宋_GB2312"/>
          <w:color w:val="000000"/>
          <w:sz w:val="32"/>
          <w:szCs w:val="32"/>
        </w:rPr>
        <w:t>111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6032.92</w:t>
      </w:r>
      <w:r>
        <w:rPr>
          <w:rFonts w:hint="eastAsia" w:ascii="仿宋_GB2312" w:hAnsi="仿宋_GB2312" w:eastAsia="仿宋_GB2312" w:cs="仿宋_GB2312"/>
          <w:sz w:val="32"/>
          <w:szCs w:val="32"/>
          <w:lang w:val="zh-CN"/>
        </w:rPr>
        <w:t>元,占</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color w:val="000000"/>
          <w:sz w:val="32"/>
          <w:szCs w:val="32"/>
        </w:rPr>
        <w:t>10319310.64</w:t>
      </w:r>
      <w:r>
        <w:rPr>
          <w:rFonts w:hint="eastAsia" w:ascii="仿宋_GB2312" w:hAnsi="仿宋_GB2312" w:eastAsia="仿宋_GB2312" w:cs="仿宋_GB2312"/>
          <w:sz w:val="32"/>
          <w:szCs w:val="32"/>
          <w:lang w:val="zh-CN"/>
        </w:rPr>
        <w:t>元；</w:t>
      </w:r>
    </w:p>
    <w:p>
      <w:pPr>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其中：</w:t>
      </w:r>
      <w:r>
        <w:rPr>
          <w:rFonts w:hint="eastAsia" w:ascii="仿宋_GB2312" w:hAnsi="仿宋_GB2312" w:eastAsia="仿宋_GB2312" w:cs="仿宋_GB2312"/>
          <w:sz w:val="32"/>
          <w:szCs w:val="32"/>
          <w:lang w:val="en-US" w:eastAsia="zh-CN"/>
        </w:rPr>
        <w:t>教育</w:t>
      </w:r>
      <w:r>
        <w:rPr>
          <w:rFonts w:hint="eastAsia" w:ascii="仿宋_GB2312" w:hAnsi="仿宋_GB2312" w:eastAsia="仿宋_GB2312" w:cs="仿宋_GB2312"/>
          <w:sz w:val="32"/>
          <w:szCs w:val="32"/>
          <w:lang w:val="zh-CN"/>
        </w:rPr>
        <w:t>支出</w:t>
      </w:r>
      <w:r>
        <w:rPr>
          <w:rFonts w:hint="eastAsia" w:ascii="仿宋_GB2312" w:hAnsi="仿宋_GB2312" w:eastAsia="仿宋_GB2312" w:cs="仿宋_GB2312"/>
          <w:sz w:val="32"/>
          <w:szCs w:val="32"/>
        </w:rPr>
        <w:t>9548121.92</w:t>
      </w:r>
      <w:r>
        <w:rPr>
          <w:rFonts w:hint="eastAsia" w:ascii="仿宋_GB2312" w:hAnsi="仿宋_GB2312" w:eastAsia="仿宋_GB2312" w:cs="仿宋_GB2312"/>
          <w:sz w:val="32"/>
          <w:szCs w:val="32"/>
          <w:lang w:val="zh-CN"/>
        </w:rPr>
        <w:t>元,占</w:t>
      </w:r>
      <w:r>
        <w:rPr>
          <w:rFonts w:hint="eastAsia" w:ascii="仿宋_GB2312" w:hAnsi="仿宋_GB2312" w:eastAsia="仿宋_GB2312" w:cs="仿宋_GB2312"/>
          <w:sz w:val="32"/>
          <w:szCs w:val="32"/>
          <w:lang w:val="en-US" w:eastAsia="zh-CN"/>
        </w:rPr>
        <w:t>92.52</w:t>
      </w:r>
      <w:r>
        <w:rPr>
          <w:rFonts w:hint="eastAsia" w:ascii="仿宋_GB2312" w:hAnsi="仿宋_GB2312" w:eastAsia="仿宋_GB2312" w:cs="仿宋_GB2312"/>
          <w:sz w:val="32"/>
          <w:szCs w:val="32"/>
          <w:lang w:val="zh-CN"/>
        </w:rPr>
        <w:t>%；</w:t>
      </w:r>
    </w:p>
    <w:p>
      <w:pPr>
        <w:ind w:firstLine="960" w:firstLineChars="3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卫生健康支出：140832.72元，占1.36%；</w:t>
      </w:r>
    </w:p>
    <w:p>
      <w:pPr>
        <w:ind w:firstLine="960" w:firstLineChars="3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住房保障支出：544726元，占5.28%；</w:t>
      </w:r>
    </w:p>
    <w:p>
      <w:pPr>
        <w:spacing w:line="640" w:lineRule="exact"/>
        <w:ind w:firstLine="960" w:firstLineChars="300"/>
        <w:rPr>
          <w:rFonts w:hint="default" w:ascii="仿宋_GB2312" w:hAnsi="宋体" w:eastAsia="仿宋_GB2312"/>
          <w:sz w:val="32"/>
          <w:szCs w:val="32"/>
          <w:lang w:val="en-US" w:eastAsia="zh-CN"/>
        </w:rPr>
      </w:pPr>
      <w:r>
        <w:rPr>
          <w:rFonts w:hint="eastAsia" w:ascii="仿宋_GB2312" w:hAnsi="宋体" w:eastAsia="仿宋_GB2312"/>
          <w:sz w:val="32"/>
          <w:szCs w:val="32"/>
        </w:rPr>
        <w:t>一般公共服务支出46274元，</w:t>
      </w:r>
      <w:r>
        <w:rPr>
          <w:rFonts w:hint="eastAsia" w:ascii="仿宋_GB2312" w:hAnsi="宋体" w:eastAsia="仿宋_GB2312"/>
          <w:sz w:val="32"/>
          <w:szCs w:val="32"/>
          <w:lang w:val="en-US" w:eastAsia="zh-CN"/>
        </w:rPr>
        <w:t>占0.47%；</w:t>
      </w:r>
    </w:p>
    <w:p>
      <w:pPr>
        <w:spacing w:line="640" w:lineRule="exact"/>
        <w:ind w:firstLine="960" w:firstLineChars="300"/>
        <w:rPr>
          <w:rFonts w:hint="eastAsia" w:ascii="仿宋_GB2312" w:hAnsi="黑体" w:eastAsia="仿宋_GB2312"/>
          <w:sz w:val="32"/>
          <w:szCs w:val="32"/>
          <w:lang w:val="en-US" w:eastAsia="zh-CN"/>
        </w:rPr>
      </w:pPr>
      <w:r>
        <w:rPr>
          <w:rFonts w:hint="eastAsia" w:ascii="仿宋_GB2312" w:hAnsi="宋体" w:eastAsia="仿宋_GB2312"/>
          <w:sz w:val="32"/>
          <w:szCs w:val="32"/>
          <w:lang w:val="en-US" w:eastAsia="zh-CN"/>
        </w:rPr>
        <w:t>政府性基金（少年宫）</w:t>
      </w:r>
      <w:r>
        <w:rPr>
          <w:rFonts w:hint="eastAsia" w:ascii="仿宋_GB2312" w:hAnsi="宋体" w:eastAsia="仿宋_GB2312"/>
          <w:sz w:val="32"/>
          <w:szCs w:val="32"/>
        </w:rPr>
        <w:t>支出</w:t>
      </w:r>
      <w:r>
        <w:rPr>
          <w:rFonts w:hint="eastAsia" w:ascii="仿宋_GB2312" w:hAnsi="宋体" w:eastAsia="仿宋_GB2312"/>
          <w:sz w:val="32"/>
          <w:szCs w:val="32"/>
          <w:lang w:val="en-US" w:eastAsia="zh-CN"/>
        </w:rPr>
        <w:t>20000</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占0.19%；</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本部门（本单位）2022年度财政拨款收入111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6032.92元，较上年决算数增长1</w:t>
      </w:r>
      <w:r>
        <w:rPr>
          <w:rFonts w:hint="eastAsia" w:ascii="仿宋_GB2312" w:hAnsi="仿宋_GB2312" w:eastAsia="仿宋_GB2312" w:cs="仿宋_GB2312"/>
          <w:color w:val="000000"/>
          <w:sz w:val="32"/>
          <w:szCs w:val="32"/>
          <w:lang w:val="en-US" w:eastAsia="zh-CN"/>
        </w:rPr>
        <w:t>5.5</w:t>
      </w:r>
      <w:r>
        <w:rPr>
          <w:rFonts w:hint="eastAsia" w:ascii="仿宋_GB2312" w:hAnsi="仿宋_GB2312" w:eastAsia="仿宋_GB2312" w:cs="仿宋_GB2312"/>
          <w:color w:val="000000"/>
          <w:sz w:val="32"/>
          <w:szCs w:val="32"/>
        </w:rPr>
        <w:t>%。主要原因是本年度人员增加。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根据实际情况补充原因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本部门（本单位）2022年度财政拨款支出10319310.64元，增长1</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.2%。主要原因是人员增加（根据实际情况补充原因）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年末结转和结余882799.63元（2022年度教师养老保险费和部分医疗保险费）</w:t>
      </w:r>
      <w:r>
        <w:rPr>
          <w:rFonts w:hint="eastAsia" w:ascii="仿宋_GB2312" w:hAnsi="仿宋_GB2312" w:eastAsia="仿宋_GB2312" w:cs="仿宋_GB2312"/>
          <w:color w:val="000000"/>
          <w:sz w:val="32"/>
          <w:szCs w:val="32"/>
        </w:rPr>
        <w:t>。</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color w:val="000000"/>
          <w:sz w:val="32"/>
          <w:szCs w:val="32"/>
        </w:rPr>
        <w:t>111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6032.92</w:t>
      </w:r>
      <w:r>
        <w:rPr>
          <w:rFonts w:hint="eastAsia" w:ascii="仿宋_GB2312" w:hAnsi="仿宋_GB2312" w:eastAsia="仿宋_GB2312" w:cs="仿宋_GB2312"/>
          <w:sz w:val="32"/>
          <w:szCs w:val="32"/>
          <w:lang w:val="zh-CN"/>
        </w:rPr>
        <w:t>元,</w:t>
      </w:r>
      <w:r>
        <w:rPr>
          <w:rFonts w:hint="eastAsia" w:ascii="仿宋_GB2312" w:hAnsi="仿宋_GB2312" w:eastAsia="仿宋_GB2312" w:cs="仿宋_GB2312"/>
          <w:color w:val="000000"/>
          <w:sz w:val="32"/>
          <w:szCs w:val="32"/>
        </w:rPr>
        <w:t>较上年决算数增长1</w:t>
      </w:r>
      <w:r>
        <w:rPr>
          <w:rFonts w:hint="eastAsia" w:ascii="仿宋_GB2312" w:hAnsi="仿宋_GB2312" w:eastAsia="仿宋_GB2312" w:cs="仿宋_GB2312"/>
          <w:color w:val="000000"/>
          <w:sz w:val="32"/>
          <w:szCs w:val="32"/>
          <w:lang w:val="en-US" w:eastAsia="zh-CN"/>
        </w:rPr>
        <w:t>5.5</w:t>
      </w:r>
      <w:r>
        <w:rPr>
          <w:rFonts w:hint="eastAsia" w:ascii="仿宋_GB2312" w:hAnsi="仿宋_GB2312" w:eastAsia="仿宋_GB2312" w:cs="仿宋_GB2312"/>
          <w:color w:val="000000"/>
          <w:sz w:val="32"/>
          <w:szCs w:val="32"/>
        </w:rPr>
        <w:t>%。主要原因是本年度人员增加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color w:val="000000"/>
          <w:sz w:val="32"/>
          <w:szCs w:val="32"/>
        </w:rPr>
        <w:t>10319310.64</w:t>
      </w:r>
      <w:r>
        <w:rPr>
          <w:rFonts w:hint="eastAsia" w:ascii="仿宋_GB2312" w:hAnsi="仿宋_GB2312" w:eastAsia="仿宋_GB2312" w:cs="仿宋_GB2312"/>
          <w:sz w:val="32"/>
          <w:szCs w:val="32"/>
          <w:lang w:val="zh-CN"/>
        </w:rPr>
        <w:t>元；</w:t>
      </w:r>
    </w:p>
    <w:p>
      <w:pPr>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其中：</w:t>
      </w:r>
      <w:r>
        <w:rPr>
          <w:rFonts w:hint="eastAsia" w:ascii="仿宋_GB2312" w:hAnsi="仿宋_GB2312" w:eastAsia="仿宋_GB2312" w:cs="仿宋_GB2312"/>
          <w:sz w:val="32"/>
          <w:szCs w:val="32"/>
          <w:lang w:val="en-US" w:eastAsia="zh-CN"/>
        </w:rPr>
        <w:t>教育</w:t>
      </w:r>
      <w:r>
        <w:rPr>
          <w:rFonts w:hint="eastAsia" w:ascii="仿宋_GB2312" w:hAnsi="仿宋_GB2312" w:eastAsia="仿宋_GB2312" w:cs="仿宋_GB2312"/>
          <w:sz w:val="32"/>
          <w:szCs w:val="32"/>
          <w:lang w:val="zh-CN"/>
        </w:rPr>
        <w:t>支出</w:t>
      </w:r>
      <w:r>
        <w:rPr>
          <w:rFonts w:hint="eastAsia" w:ascii="仿宋_GB2312" w:hAnsi="仿宋_GB2312" w:eastAsia="仿宋_GB2312" w:cs="仿宋_GB2312"/>
          <w:sz w:val="32"/>
          <w:szCs w:val="32"/>
        </w:rPr>
        <w:t>9548121.92</w:t>
      </w:r>
      <w:r>
        <w:rPr>
          <w:rFonts w:hint="eastAsia" w:ascii="仿宋_GB2312" w:hAnsi="仿宋_GB2312" w:eastAsia="仿宋_GB2312" w:cs="仿宋_GB2312"/>
          <w:sz w:val="32"/>
          <w:szCs w:val="32"/>
          <w:lang w:val="zh-CN"/>
        </w:rPr>
        <w:t>元,占</w:t>
      </w:r>
      <w:r>
        <w:rPr>
          <w:rFonts w:hint="eastAsia" w:ascii="仿宋_GB2312" w:hAnsi="仿宋_GB2312" w:eastAsia="仿宋_GB2312" w:cs="仿宋_GB2312"/>
          <w:sz w:val="32"/>
          <w:szCs w:val="32"/>
          <w:lang w:val="en-US" w:eastAsia="zh-CN"/>
        </w:rPr>
        <w:t>92.52</w:t>
      </w:r>
      <w:r>
        <w:rPr>
          <w:rFonts w:hint="eastAsia" w:ascii="仿宋_GB2312" w:hAnsi="仿宋_GB2312" w:eastAsia="仿宋_GB2312" w:cs="仿宋_GB2312"/>
          <w:sz w:val="32"/>
          <w:szCs w:val="32"/>
          <w:lang w:val="zh-CN"/>
        </w:rPr>
        <w:t>%；</w:t>
      </w:r>
    </w:p>
    <w:p>
      <w:pPr>
        <w:ind w:firstLine="960" w:firstLineChars="3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卫生健康支出：140832.72元，占1.36%；</w:t>
      </w:r>
    </w:p>
    <w:p>
      <w:pPr>
        <w:ind w:firstLine="960" w:firstLineChars="3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住房保障支出：544726元，占5.28%；</w:t>
      </w:r>
    </w:p>
    <w:p>
      <w:pPr>
        <w:spacing w:line="640" w:lineRule="exact"/>
        <w:ind w:firstLine="960" w:firstLineChars="300"/>
        <w:rPr>
          <w:rFonts w:hint="default" w:ascii="仿宋_GB2312" w:hAnsi="宋体" w:eastAsia="仿宋_GB2312"/>
          <w:sz w:val="32"/>
          <w:szCs w:val="32"/>
          <w:lang w:val="en-US" w:eastAsia="zh-CN"/>
        </w:rPr>
      </w:pPr>
      <w:r>
        <w:rPr>
          <w:rFonts w:hint="eastAsia" w:ascii="仿宋_GB2312" w:hAnsi="宋体" w:eastAsia="仿宋_GB2312"/>
          <w:sz w:val="32"/>
          <w:szCs w:val="32"/>
        </w:rPr>
        <w:t>一般公共服务支出46274元，</w:t>
      </w:r>
      <w:r>
        <w:rPr>
          <w:rFonts w:hint="eastAsia" w:ascii="仿宋_GB2312" w:hAnsi="宋体" w:eastAsia="仿宋_GB2312"/>
          <w:sz w:val="32"/>
          <w:szCs w:val="32"/>
          <w:lang w:val="en-US" w:eastAsia="zh-CN"/>
        </w:rPr>
        <w:t>占0.47%；</w:t>
      </w:r>
    </w:p>
    <w:p>
      <w:pPr>
        <w:spacing w:line="640" w:lineRule="exact"/>
        <w:ind w:firstLine="960" w:firstLineChars="300"/>
        <w:rPr>
          <w:rFonts w:hint="eastAsia" w:ascii="仿宋_GB2312" w:hAnsi="黑体" w:eastAsia="仿宋_GB2312"/>
          <w:sz w:val="32"/>
          <w:szCs w:val="32"/>
          <w:lang w:val="en-US" w:eastAsia="zh-CN"/>
        </w:rPr>
      </w:pPr>
      <w:r>
        <w:rPr>
          <w:rFonts w:hint="eastAsia" w:ascii="仿宋_GB2312" w:hAnsi="宋体" w:eastAsia="仿宋_GB2312"/>
          <w:sz w:val="32"/>
          <w:szCs w:val="32"/>
          <w:lang w:val="en-US" w:eastAsia="zh-CN"/>
        </w:rPr>
        <w:t>政府性基金（少年宫）</w:t>
      </w:r>
      <w:r>
        <w:rPr>
          <w:rFonts w:hint="eastAsia" w:ascii="仿宋_GB2312" w:hAnsi="宋体" w:eastAsia="仿宋_GB2312"/>
          <w:sz w:val="32"/>
          <w:szCs w:val="32"/>
        </w:rPr>
        <w:t>支出</w:t>
      </w:r>
      <w:r>
        <w:rPr>
          <w:rFonts w:hint="eastAsia" w:ascii="仿宋_GB2312" w:hAnsi="宋体" w:eastAsia="仿宋_GB2312"/>
          <w:sz w:val="32"/>
          <w:szCs w:val="32"/>
          <w:lang w:val="en-US" w:eastAsia="zh-CN"/>
        </w:rPr>
        <w:t>20000</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占0.19%；</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sz w:val="32"/>
          <w:szCs w:val="32"/>
          <w:lang w:val="en-US" w:eastAsia="zh-CN"/>
        </w:rPr>
        <w:t>10299310.64</w:t>
      </w:r>
      <w:r>
        <w:rPr>
          <w:rFonts w:hint="eastAsia" w:ascii="仿宋_GB2312" w:hAnsi="仿宋_GB2312" w:eastAsia="仿宋_GB2312" w:cs="仿宋_GB2312"/>
          <w:sz w:val="32"/>
          <w:szCs w:val="32"/>
          <w:lang w:val="zh-CN"/>
        </w:rPr>
        <w:t>元。其中：</w:t>
      </w:r>
      <w:r>
        <w:rPr>
          <w:rFonts w:hint="eastAsia" w:ascii="仿宋_GB2312" w:hAnsi="仿宋_GB2312" w:eastAsia="仿宋_GB2312" w:cs="仿宋_GB2312"/>
          <w:b/>
          <w:sz w:val="32"/>
          <w:szCs w:val="32"/>
          <w:lang w:val="zh-CN"/>
        </w:rPr>
        <w:t>人员经费</w:t>
      </w:r>
      <w:r>
        <w:rPr>
          <w:rFonts w:hint="eastAsia" w:ascii="仿宋_GB2312" w:hAnsi="仿宋_GB2312" w:eastAsia="仿宋_GB2312" w:cs="仿宋_GB2312"/>
          <w:sz w:val="32"/>
          <w:szCs w:val="32"/>
        </w:rPr>
        <w:t>8982524.07</w:t>
      </w:r>
      <w:r>
        <w:rPr>
          <w:rFonts w:hint="eastAsia" w:ascii="仿宋_GB2312" w:hAnsi="仿宋_GB2312" w:eastAsia="仿宋_GB2312" w:cs="仿宋_GB2312"/>
          <w:sz w:val="32"/>
          <w:szCs w:val="32"/>
          <w:lang w:val="zh-CN"/>
        </w:rPr>
        <w:t>元,人员经费用途</w:t>
      </w:r>
      <w:r>
        <w:rPr>
          <w:rFonts w:hint="eastAsia" w:ascii="仿宋_GB2312" w:hAnsi="仿宋_GB2312" w:eastAsia="仿宋_GB2312" w:cs="仿宋_GB2312"/>
          <w:color w:val="auto"/>
          <w:sz w:val="32"/>
          <w:szCs w:val="32"/>
          <w:lang w:val="zh-CN"/>
        </w:rPr>
        <w:t>主要包括基本工资4884354元，津贴补贴683987元，奖金13600元，医疗补助缴费140832.72元，住房公积金缴费544726</w:t>
      </w:r>
      <w:r>
        <w:rPr>
          <w:rFonts w:hint="eastAsia" w:ascii="仿宋_GB2312" w:hAnsi="仿宋_GB2312" w:eastAsia="仿宋_GB2312" w:cs="仿宋_GB2312"/>
          <w:color w:val="auto"/>
          <w:sz w:val="32"/>
          <w:szCs w:val="32"/>
          <w:lang w:val="en-US" w:eastAsia="zh-CN"/>
        </w:rPr>
        <w:t>元，其他工资福利支出：2715024.35元。</w:t>
      </w:r>
    </w:p>
    <w:p>
      <w:pPr>
        <w:ind w:firstLine="643"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b/>
          <w:color w:val="auto"/>
          <w:sz w:val="32"/>
          <w:szCs w:val="32"/>
          <w:lang w:val="en-US" w:eastAsia="zh-CN"/>
        </w:rPr>
        <w:t>支出：</w:t>
      </w:r>
      <w:r>
        <w:rPr>
          <w:rFonts w:hint="eastAsia" w:ascii="仿宋_GB2312" w:hAnsi="仿宋_GB2312" w:eastAsia="仿宋_GB2312" w:cs="仿宋_GB2312"/>
          <w:b/>
          <w:color w:val="auto"/>
          <w:sz w:val="32"/>
          <w:szCs w:val="32"/>
          <w:lang w:val="zh-CN"/>
        </w:rPr>
        <w:t>1316786.57</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eastAsia="zh-CN"/>
        </w:rPr>
        <w:t>办公费：852958.57元，水费：5429元，电费：68642.05元，邮电费：8960.9元，取暖费：189176.05元，差旅费：23240元，劳务费：102750元，工会经费支出：46274元，其他商品服务支出：19356元。</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eastAsia="zh-CN"/>
        </w:rPr>
        <w:t>七</w:t>
      </w:r>
      <w:r>
        <w:rPr>
          <w:rFonts w:hint="eastAsia" w:ascii="仿宋_GB2312" w:hAnsi="仿宋_GB2312" w:eastAsia="仿宋_GB2312" w:cs="仿宋_GB2312"/>
          <w:b/>
          <w:sz w:val="32"/>
          <w:szCs w:val="32"/>
          <w:lang w:val="zh-CN"/>
        </w:rPr>
        <w:t>、政府性基金预算财政拨款收支决算情况说明</w:t>
      </w:r>
    </w:p>
    <w:p>
      <w:pPr>
        <w:ind w:firstLine="640" w:firstLineChars="200"/>
        <w:jc w:val="left"/>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2022年度政府性基金财政拨款</w:t>
      </w:r>
      <w:r>
        <w:rPr>
          <w:rFonts w:hint="eastAsia" w:ascii="仿宋_GB2312" w:hAnsi="仿宋_GB2312" w:eastAsia="仿宋_GB2312" w:cs="仿宋_GB2312"/>
          <w:sz w:val="32"/>
          <w:szCs w:val="32"/>
          <w:lang w:val="en-US" w:eastAsia="zh-CN"/>
        </w:rPr>
        <w:t>20000</w:t>
      </w:r>
      <w:r>
        <w:rPr>
          <w:rFonts w:hint="eastAsia" w:ascii="仿宋_GB2312" w:hAnsi="仿宋_GB2312" w:eastAsia="仿宋_GB2312" w:cs="仿宋_GB2312"/>
          <w:sz w:val="32"/>
          <w:szCs w:val="32"/>
        </w:rPr>
        <w:t>元，本年收入</w:t>
      </w:r>
      <w:r>
        <w:rPr>
          <w:rFonts w:hint="eastAsia" w:ascii="仿宋_GB2312" w:hAnsi="仿宋_GB2312" w:eastAsia="仿宋_GB2312" w:cs="仿宋_GB2312"/>
          <w:sz w:val="32"/>
          <w:szCs w:val="32"/>
          <w:lang w:val="en-US" w:eastAsia="zh-CN"/>
        </w:rPr>
        <w:t>20000</w:t>
      </w:r>
      <w:r>
        <w:rPr>
          <w:rFonts w:hint="eastAsia" w:ascii="仿宋_GB2312" w:hAnsi="仿宋_GB2312" w:eastAsia="仿宋_GB2312" w:cs="仿宋_GB2312"/>
          <w:sz w:val="32"/>
          <w:szCs w:val="32"/>
        </w:rPr>
        <w:t>元，本年支出</w:t>
      </w:r>
      <w:r>
        <w:rPr>
          <w:rFonts w:hint="eastAsia" w:ascii="仿宋_GB2312" w:hAnsi="仿宋_GB2312" w:eastAsia="仿宋_GB2312" w:cs="仿宋_GB2312"/>
          <w:sz w:val="32"/>
          <w:szCs w:val="32"/>
          <w:lang w:val="en-US" w:eastAsia="zh-CN"/>
        </w:rPr>
        <w:t>20000</w:t>
      </w:r>
      <w:r>
        <w:rPr>
          <w:rFonts w:hint="eastAsia" w:ascii="仿宋_GB2312" w:hAnsi="仿宋_GB2312" w:eastAsia="仿宋_GB2312" w:cs="仿宋_GB2312"/>
          <w:sz w:val="32"/>
          <w:szCs w:val="32"/>
        </w:rPr>
        <w:t>元，年末结转和结余0</w:t>
      </w:r>
      <w:r>
        <w:rPr>
          <w:rFonts w:hint="eastAsia" w:ascii="仿宋_GB2312" w:hAnsi="仿宋_GB2312" w:eastAsia="仿宋_GB2312" w:cs="仿宋_GB2312"/>
          <w:sz w:val="32"/>
          <w:szCs w:val="32"/>
          <w:lang w:val="zh-CN"/>
        </w:rPr>
        <w:t>万元。</w:t>
      </w:r>
    </w:p>
    <w:p>
      <w:pPr>
        <w:numPr>
          <w:numId w:val="0"/>
        </w:numPr>
        <w:jc w:val="left"/>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eastAsia="zh-CN"/>
        </w:rPr>
        <w:t>八、</w:t>
      </w:r>
      <w:r>
        <w:rPr>
          <w:rFonts w:hint="eastAsia" w:ascii="仿宋_GB2312" w:hAnsi="仿宋_GB2312" w:eastAsia="仿宋_GB2312" w:cs="仿宋_GB2312"/>
          <w:b/>
          <w:sz w:val="32"/>
          <w:szCs w:val="32"/>
          <w:lang w:val="zh-CN"/>
        </w:rPr>
        <w:t>财政拨款“三公”经费支出决算情况说明；</w:t>
      </w:r>
    </w:p>
    <w:p>
      <w:pPr>
        <w:numPr>
          <w:numId w:val="0"/>
        </w:numPr>
        <w:ind w:left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2022年度“三公”经费支出决算为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p>
    <w:p>
      <w:pPr>
        <w:ind w:firstLine="640" w:firstLineChars="200"/>
        <w:jc w:val="left"/>
        <w:rPr>
          <w:rFonts w:ascii="仿宋_GB2312" w:hAnsi="仿宋_GB2312" w:eastAsia="仿宋_GB2312" w:cs="仿宋_GB2312"/>
          <w:sz w:val="32"/>
          <w:szCs w:val="32"/>
          <w:lang w:val="zh-CN"/>
        </w:rPr>
      </w:pPr>
    </w:p>
    <w:p>
      <w:pPr>
        <w:spacing w:line="840" w:lineRule="exact"/>
        <w:jc w:val="center"/>
        <w:rPr>
          <w:rFonts w:hint="eastAsia" w:ascii="仿宋_GB2312" w:hAnsi="黑体" w:eastAsia="仿宋_GB2312"/>
          <w:b/>
          <w:sz w:val="52"/>
          <w:szCs w:val="52"/>
          <w:lang w:val="zh-CN"/>
        </w:rPr>
      </w:pPr>
      <w:r>
        <w:rPr>
          <w:rFonts w:hint="eastAsia" w:ascii="仿宋_GB2312" w:hAnsi="黑体" w:eastAsia="仿宋_GB2312"/>
          <w:b/>
          <w:sz w:val="52"/>
          <w:szCs w:val="52"/>
          <w:lang w:val="zh-CN"/>
        </w:rPr>
        <w:t>第四部分预算绩效情况说明</w:t>
      </w:r>
    </w:p>
    <w:p>
      <w:pPr>
        <w:spacing w:line="840" w:lineRule="exact"/>
        <w:jc w:val="center"/>
        <w:rPr>
          <w:rFonts w:hint="eastAsia" w:ascii="仿宋_GB2312" w:hAnsi="黑体" w:eastAsia="仿宋_GB2312"/>
          <w:b/>
          <w:sz w:val="52"/>
          <w:szCs w:val="52"/>
          <w:lang w:val="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rPr>
          <w:rFonts w:hint="eastAsia" w:ascii="微软雅黑" w:hAnsi="微软雅黑" w:eastAsia="微软雅黑" w:cs="微软雅黑"/>
          <w:i w:val="0"/>
          <w:iCs w:val="0"/>
          <w:caps w:val="0"/>
          <w:color w:val="000000"/>
          <w:spacing w:val="0"/>
          <w:sz w:val="24"/>
          <w:szCs w:val="24"/>
        </w:rPr>
      </w:pPr>
      <w:r>
        <w:rPr>
          <w:rFonts w:ascii="仿宋_GB2312" w:hAnsi="微软雅黑" w:eastAsia="仿宋_GB2312" w:cs="仿宋_GB2312"/>
          <w:b/>
          <w:bCs/>
          <w:i w:val="0"/>
          <w:iCs w:val="0"/>
          <w:caps w:val="0"/>
          <w:color w:val="000000"/>
          <w:spacing w:val="0"/>
          <w:sz w:val="32"/>
          <w:szCs w:val="32"/>
          <w:shd w:val="clear" w:fill="FFFFFF"/>
        </w:rPr>
        <w:t>（一）</w:t>
      </w:r>
      <w:r>
        <w:rPr>
          <w:rFonts w:hint="default" w:ascii="仿宋_GB2312" w:hAnsi="微软雅黑" w:eastAsia="仿宋_GB2312" w:cs="仿宋_GB2312"/>
          <w:b/>
          <w:bCs/>
          <w:i w:val="0"/>
          <w:iCs w:val="0"/>
          <w:caps w:val="0"/>
          <w:color w:val="000000"/>
          <w:spacing w:val="0"/>
          <w:sz w:val="32"/>
          <w:szCs w:val="32"/>
          <w:shd w:val="clear" w:fill="FFFFFF"/>
        </w:rPr>
        <w:t>2022年绩效管理工作情况</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2022年本部门按照财政要求，将相关项目全部纳入绩效目标管理，执行过程按款项支出进度进行了监控并上报财政绩效管理部门，年终完整实现了年初制定的绩效目标，绩效目标执行良好。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rPr>
          <w:rFonts w:hint="eastAsia" w:ascii="仿宋_GB2312" w:hAnsi="微软雅黑" w:eastAsia="仿宋_GB2312" w:cs="仿宋_GB2312"/>
          <w:b/>
          <w:bCs/>
          <w:i w:val="0"/>
          <w:iCs w:val="0"/>
          <w:caps w:val="0"/>
          <w:color w:val="000000"/>
          <w:spacing w:val="0"/>
          <w:sz w:val="32"/>
          <w:szCs w:val="32"/>
          <w:shd w:val="clear" w:fill="FFFFFF"/>
        </w:rPr>
      </w:pPr>
      <w:r>
        <w:rPr>
          <w:rFonts w:hint="default" w:ascii="仿宋_GB2312" w:hAnsi="微软雅黑" w:eastAsia="仿宋_GB2312" w:cs="仿宋_GB2312"/>
          <w:b/>
          <w:bCs/>
          <w:i w:val="0"/>
          <w:iCs w:val="0"/>
          <w:caps w:val="0"/>
          <w:color w:val="000000"/>
          <w:spacing w:val="0"/>
          <w:sz w:val="32"/>
          <w:szCs w:val="32"/>
          <w:shd w:val="clear" w:fill="FFFFFF"/>
        </w:rPr>
        <w:t>（二）202</w:t>
      </w:r>
      <w:r>
        <w:rPr>
          <w:rFonts w:hint="eastAsia" w:ascii="仿宋_GB2312" w:hAnsi="微软雅黑" w:eastAsia="仿宋_GB2312" w:cs="仿宋_GB2312"/>
          <w:b/>
          <w:bCs/>
          <w:i w:val="0"/>
          <w:iCs w:val="0"/>
          <w:caps w:val="0"/>
          <w:color w:val="000000"/>
          <w:spacing w:val="0"/>
          <w:sz w:val="32"/>
          <w:szCs w:val="32"/>
          <w:shd w:val="clear" w:fill="FFFFFF"/>
          <w:lang w:val="en-US" w:eastAsia="zh-CN"/>
        </w:rPr>
        <w:t>2</w:t>
      </w:r>
      <w:r>
        <w:rPr>
          <w:rFonts w:hint="default" w:ascii="仿宋_GB2312" w:hAnsi="微软雅黑" w:eastAsia="仿宋_GB2312" w:cs="仿宋_GB2312"/>
          <w:b/>
          <w:bCs/>
          <w:i w:val="0"/>
          <w:iCs w:val="0"/>
          <w:caps w:val="0"/>
          <w:color w:val="000000"/>
          <w:spacing w:val="0"/>
          <w:sz w:val="32"/>
          <w:szCs w:val="32"/>
          <w:shd w:val="clear" w:fill="FFFFFF"/>
        </w:rPr>
        <w:t>年项目支出绩效目标情况</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年部门纳入绩效目标管理的二级项目</w:t>
      </w:r>
      <w:r>
        <w:rPr>
          <w:rFonts w:hint="eastAsia" w:ascii="仿宋_GB2312" w:hAnsi="黑体" w:eastAsia="仿宋_GB2312"/>
          <w:sz w:val="32"/>
          <w:szCs w:val="32"/>
          <w:highlight w:val="none"/>
          <w:lang w:val="en-US" w:eastAsia="zh-CN"/>
        </w:rPr>
        <w:t>5</w:t>
      </w:r>
      <w:r>
        <w:rPr>
          <w:rFonts w:hint="eastAsia" w:ascii="仿宋_GB2312" w:hAnsi="黑体" w:eastAsia="仿宋_GB2312"/>
          <w:sz w:val="32"/>
          <w:szCs w:val="32"/>
          <w:highlight w:val="none"/>
        </w:rPr>
        <w:t>个，涉及财政支出</w:t>
      </w:r>
      <w:r>
        <w:rPr>
          <w:rFonts w:hint="eastAsia" w:ascii="仿宋_GB2312" w:hAnsi="仿宋_GB2312" w:eastAsia="仿宋_GB2312" w:cs="仿宋_GB2312"/>
          <w:sz w:val="32"/>
          <w:szCs w:val="32"/>
          <w:lang w:val="en-US" w:eastAsia="zh-CN"/>
        </w:rPr>
        <w:t>10299310.64</w:t>
      </w:r>
      <w:r>
        <w:rPr>
          <w:rFonts w:hint="eastAsia" w:ascii="仿宋_GB2312" w:hAnsi="黑体" w:eastAsia="仿宋_GB2312"/>
          <w:sz w:val="32"/>
          <w:szCs w:val="32"/>
          <w:highlight w:val="none"/>
        </w:rPr>
        <w:t>元，其中：一般公共预算项目</w:t>
      </w:r>
      <w:r>
        <w:rPr>
          <w:rFonts w:hint="eastAsia" w:ascii="仿宋_GB2312" w:hAnsi="黑体" w:eastAsia="仿宋_GB2312"/>
          <w:sz w:val="32"/>
          <w:szCs w:val="32"/>
          <w:highlight w:val="none"/>
          <w:lang w:val="en-US" w:eastAsia="zh-CN"/>
        </w:rPr>
        <w:t>5</w:t>
      </w:r>
      <w:r>
        <w:rPr>
          <w:rFonts w:hint="eastAsia" w:ascii="仿宋_GB2312" w:hAnsi="黑体" w:eastAsia="仿宋_GB2312"/>
          <w:sz w:val="32"/>
          <w:szCs w:val="32"/>
          <w:highlight w:val="none"/>
        </w:rPr>
        <w:t>个，涉及财政支出</w:t>
      </w:r>
      <w:r>
        <w:rPr>
          <w:rFonts w:hint="eastAsia" w:ascii="仿宋_GB2312" w:hAnsi="仿宋_GB2312" w:eastAsia="仿宋_GB2312" w:cs="仿宋_GB2312"/>
          <w:sz w:val="32"/>
          <w:szCs w:val="32"/>
          <w:lang w:val="en-US" w:eastAsia="zh-CN"/>
        </w:rPr>
        <w:t>10299310.64</w:t>
      </w:r>
      <w:r>
        <w:rPr>
          <w:rFonts w:hint="eastAsia" w:ascii="仿宋_GB2312" w:hAnsi="黑体" w:eastAsia="仿宋_GB2312"/>
          <w:sz w:val="32"/>
          <w:szCs w:val="32"/>
          <w:highlight w:val="none"/>
        </w:rPr>
        <w:t>元；政府性基金项目</w:t>
      </w: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rPr>
        <w:t>个，涉及财政支出</w:t>
      </w:r>
      <w:r>
        <w:rPr>
          <w:rFonts w:hint="eastAsia" w:ascii="仿宋_GB2312" w:hAnsi="黑体" w:eastAsia="仿宋_GB2312"/>
          <w:sz w:val="32"/>
          <w:szCs w:val="32"/>
          <w:highlight w:val="none"/>
          <w:lang w:val="en-US" w:eastAsia="zh-CN"/>
        </w:rPr>
        <w:t>20000</w:t>
      </w:r>
      <w:r>
        <w:rPr>
          <w:rFonts w:hint="eastAsia" w:ascii="仿宋_GB2312" w:hAnsi="黑体" w:eastAsia="仿宋_GB2312"/>
          <w:sz w:val="32"/>
          <w:szCs w:val="32"/>
          <w:highlight w:val="none"/>
        </w:rPr>
        <w:t>元。202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年本部门及所属</w:t>
      </w: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rPr>
        <w:t>个预算单位纳入部门（单位）预算整体支出绩效目标管理。</w:t>
      </w: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bookmarkStart w:id="0" w:name="_GoBack"/>
      <w:bookmarkEnd w:id="0"/>
      <w:r>
        <w:rPr>
          <w:rFonts w:hint="eastAsia" w:ascii="仿宋_GB2312" w:hAnsi="黑体" w:eastAsia="仿宋_GB2312"/>
          <w:b/>
          <w:sz w:val="52"/>
          <w:szCs w:val="52"/>
        </w:rPr>
        <w:t>第</w:t>
      </w:r>
      <w:r>
        <w:rPr>
          <w:rFonts w:hint="eastAsia" w:ascii="仿宋_GB2312" w:hAnsi="黑体" w:eastAsia="仿宋_GB2312"/>
          <w:b/>
          <w:sz w:val="52"/>
          <w:szCs w:val="52"/>
          <w:lang w:val="en-US" w:eastAsia="zh-CN"/>
        </w:rPr>
        <w:t>五</w:t>
      </w:r>
      <w:r>
        <w:rPr>
          <w:rFonts w:hint="eastAsia" w:ascii="仿宋_GB2312" w:hAnsi="黑体" w:eastAsia="仿宋_GB2312"/>
          <w:b/>
          <w:sz w:val="52"/>
          <w:szCs w:val="52"/>
        </w:rPr>
        <w:t>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w:t>
      </w:r>
      <w:r>
        <w:rPr>
          <w:rFonts w:hint="eastAsia" w:ascii="仿宋_GB2312" w:hAnsi="黑体" w:eastAsia="仿宋_GB2312"/>
          <w:sz w:val="32"/>
          <w:szCs w:val="32"/>
          <w:lang w:eastAsia="zh-CN"/>
        </w:rPr>
        <w:t>决算</w:t>
      </w:r>
      <w:r>
        <w:rPr>
          <w:rFonts w:ascii="仿宋_GB2312" w:hAnsi="黑体" w:eastAsia="仿宋_GB2312"/>
          <w:sz w:val="32"/>
          <w:szCs w:val="32"/>
        </w:rPr>
        <w:t>管理制度，</w:t>
      </w:r>
      <w:r>
        <w:rPr>
          <w:rFonts w:hint="eastAsia" w:ascii="仿宋_GB2312" w:hAnsi="黑体" w:eastAsia="仿宋_GB2312"/>
          <w:sz w:val="32"/>
          <w:szCs w:val="32"/>
        </w:rPr>
        <w:t>县级</w:t>
      </w:r>
      <w:r>
        <w:rPr>
          <w:rFonts w:ascii="仿宋_GB2312" w:hAnsi="黑体" w:eastAsia="仿宋_GB2312"/>
          <w:sz w:val="32"/>
          <w:szCs w:val="32"/>
        </w:rPr>
        <w:t>部门</w:t>
      </w:r>
      <w:r>
        <w:rPr>
          <w:rFonts w:hint="eastAsia" w:ascii="仿宋_GB2312" w:hAnsi="黑体" w:eastAsia="仿宋_GB2312"/>
          <w:sz w:val="32"/>
          <w:szCs w:val="32"/>
          <w:lang w:eastAsia="zh-CN"/>
        </w:rPr>
        <w:t>决算</w:t>
      </w:r>
      <w:r>
        <w:rPr>
          <w:rFonts w:ascii="仿宋_GB2312" w:hAnsi="黑体" w:eastAsia="仿宋_GB2312"/>
          <w:sz w:val="32"/>
          <w:szCs w:val="32"/>
        </w:rPr>
        <w:t>中反映的财政拨款包括一般公共</w:t>
      </w:r>
      <w:r>
        <w:rPr>
          <w:rFonts w:hint="eastAsia" w:ascii="仿宋_GB2312" w:hAnsi="黑体" w:eastAsia="仿宋_GB2312"/>
          <w:sz w:val="32"/>
          <w:szCs w:val="32"/>
          <w:lang w:eastAsia="zh-CN"/>
        </w:rPr>
        <w:t>决算</w:t>
      </w:r>
      <w:r>
        <w:rPr>
          <w:rFonts w:ascii="仿宋_GB2312" w:hAnsi="黑体" w:eastAsia="仿宋_GB2312"/>
          <w:sz w:val="32"/>
          <w:szCs w:val="32"/>
        </w:rPr>
        <w:t>财政拨款和政府性基金</w:t>
      </w:r>
      <w:r>
        <w:rPr>
          <w:rFonts w:hint="eastAsia" w:ascii="仿宋_GB2312" w:hAnsi="黑体" w:eastAsia="仿宋_GB2312"/>
          <w:sz w:val="32"/>
          <w:szCs w:val="32"/>
          <w:lang w:eastAsia="zh-CN"/>
        </w:rPr>
        <w:t>决算</w:t>
      </w:r>
      <w:r>
        <w:rPr>
          <w:rFonts w:ascii="仿宋_GB2312" w:hAnsi="黑体" w:eastAsia="仿宋_GB2312"/>
          <w:sz w:val="32"/>
          <w:szCs w:val="32"/>
        </w:rPr>
        <w:t>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w:t>
      </w:r>
      <w:r>
        <w:rPr>
          <w:rFonts w:hint="eastAsia" w:ascii="仿宋_GB2312" w:hAnsi="黑体" w:eastAsia="仿宋_GB2312"/>
          <w:sz w:val="32"/>
          <w:szCs w:val="32"/>
          <w:lang w:eastAsia="zh-CN"/>
        </w:rPr>
        <w:t>决算</w:t>
      </w:r>
      <w:r>
        <w:rPr>
          <w:rFonts w:hint="eastAsia" w:ascii="仿宋_GB2312" w:hAnsi="黑体" w:eastAsia="仿宋_GB2312"/>
          <w:sz w:val="32"/>
          <w:szCs w:val="32"/>
        </w:rPr>
        <w:t>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w:t>
      </w:r>
      <w:r>
        <w:rPr>
          <w:rFonts w:hint="eastAsia" w:ascii="仿宋_GB2312" w:hAnsi="黑体" w:eastAsia="仿宋_GB2312"/>
          <w:sz w:val="32"/>
          <w:szCs w:val="32"/>
          <w:lang w:eastAsia="zh-CN"/>
        </w:rPr>
        <w:t>决算</w:t>
      </w:r>
      <w:r>
        <w:rPr>
          <w:rFonts w:hint="eastAsia" w:ascii="仿宋_GB2312" w:hAnsi="黑体" w:eastAsia="仿宋_GB2312"/>
          <w:sz w:val="32"/>
          <w:szCs w:val="32"/>
        </w:rPr>
        <w:t>公开参照表样，说明中填列的当年</w:t>
      </w:r>
      <w:r>
        <w:rPr>
          <w:rFonts w:hint="eastAsia" w:ascii="仿宋_GB2312" w:hAnsi="黑体" w:eastAsia="仿宋_GB2312"/>
          <w:sz w:val="32"/>
          <w:szCs w:val="32"/>
          <w:lang w:eastAsia="zh-CN"/>
        </w:rPr>
        <w:t>决算</w:t>
      </w:r>
      <w:r>
        <w:rPr>
          <w:rFonts w:hint="eastAsia" w:ascii="仿宋_GB2312" w:hAnsi="黑体" w:eastAsia="仿宋_GB2312"/>
          <w:sz w:val="32"/>
          <w:szCs w:val="32"/>
        </w:rPr>
        <w:t>数，必须与公开表格数据一致，使用上年</w:t>
      </w:r>
      <w:r>
        <w:rPr>
          <w:rFonts w:hint="eastAsia" w:ascii="仿宋_GB2312" w:hAnsi="黑体" w:eastAsia="仿宋_GB2312"/>
          <w:sz w:val="32"/>
          <w:szCs w:val="32"/>
          <w:lang w:eastAsia="zh-CN"/>
        </w:rPr>
        <w:t>决算</w:t>
      </w:r>
      <w:r>
        <w:rPr>
          <w:rFonts w:hint="eastAsia" w:ascii="仿宋_GB2312" w:hAnsi="黑体" w:eastAsia="仿宋_GB2312"/>
          <w:sz w:val="32"/>
          <w:szCs w:val="32"/>
        </w:rPr>
        <w:t>数计算增减额和增减百分比，必须准确无误，使用上年</w:t>
      </w:r>
      <w:r>
        <w:rPr>
          <w:rFonts w:hint="eastAsia" w:ascii="仿宋_GB2312" w:hAnsi="黑体" w:eastAsia="仿宋_GB2312"/>
          <w:sz w:val="32"/>
          <w:szCs w:val="32"/>
          <w:lang w:eastAsia="zh-CN"/>
        </w:rPr>
        <w:t>决算</w:t>
      </w:r>
      <w:r>
        <w:rPr>
          <w:rFonts w:hint="eastAsia" w:ascii="仿宋_GB2312" w:hAnsi="黑体" w:eastAsia="仿宋_GB2312"/>
          <w:sz w:val="32"/>
          <w:szCs w:val="32"/>
        </w:rPr>
        <w:t>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w:t>
      </w:r>
      <w:r>
        <w:rPr>
          <w:rFonts w:hint="eastAsia" w:ascii="仿宋_GB2312" w:hAnsi="黑体" w:eastAsia="仿宋_GB2312"/>
          <w:sz w:val="32"/>
          <w:szCs w:val="32"/>
          <w:lang w:eastAsia="zh-CN"/>
        </w:rPr>
        <w:t>决算</w:t>
      </w:r>
      <w:r>
        <w:rPr>
          <w:rFonts w:hint="eastAsia" w:ascii="仿宋_GB2312" w:hAnsi="黑体" w:eastAsia="仿宋_GB2312"/>
          <w:sz w:val="32"/>
          <w:szCs w:val="32"/>
        </w:rPr>
        <w:t>公开资料中，必须注意：</w:t>
      </w:r>
      <w:r>
        <w:rPr>
          <w:rFonts w:hint="eastAsia" w:ascii="仿宋_GB2312" w:hAnsi="黑体" w:eastAsia="仿宋_GB2312"/>
          <w:sz w:val="32"/>
          <w:szCs w:val="32"/>
          <w:lang w:eastAsia="zh-CN"/>
        </w:rPr>
        <w:t>决算</w:t>
      </w:r>
      <w:r>
        <w:rPr>
          <w:rFonts w:hint="eastAsia" w:ascii="仿宋_GB2312" w:hAnsi="黑体" w:eastAsia="仿宋_GB2312"/>
          <w:sz w:val="32"/>
          <w:szCs w:val="32"/>
        </w:rPr>
        <w:t>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A47B5B"/>
    <w:multiLevelType w:val="singleLevel"/>
    <w:tmpl w:val="96A47B5B"/>
    <w:lvl w:ilvl="0" w:tentative="0">
      <w:start w:val="3"/>
      <w:numFmt w:val="decimal"/>
      <w:suff w:val="nothing"/>
      <w:lvlText w:val="%1、"/>
      <w:lvlJc w:val="left"/>
    </w:lvl>
  </w:abstractNum>
  <w:abstractNum w:abstractNumId="1">
    <w:nsid w:val="A9A6D47A"/>
    <w:multiLevelType w:val="singleLevel"/>
    <w:tmpl w:val="A9A6D47A"/>
    <w:lvl w:ilvl="0" w:tentative="0">
      <w:start w:val="7"/>
      <w:numFmt w:val="chineseCounting"/>
      <w:suff w:val="nothing"/>
      <w:lvlText w:val="%1、"/>
      <w:lvlJc w:val="left"/>
      <w:rPr>
        <w:rFonts w:hint="eastAsia"/>
      </w:rPr>
    </w:lvl>
  </w:abstractNum>
  <w:abstractNum w:abstractNumId="2">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M2E1NzEyZTAxMjY3MWNlMmE0YTgxM2IyOTdjN2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2194D4B"/>
    <w:rsid w:val="047D2F82"/>
    <w:rsid w:val="060021DC"/>
    <w:rsid w:val="064D410C"/>
    <w:rsid w:val="06746E88"/>
    <w:rsid w:val="07EA6CFD"/>
    <w:rsid w:val="0A116753"/>
    <w:rsid w:val="0B896034"/>
    <w:rsid w:val="0BDF4286"/>
    <w:rsid w:val="0D824E94"/>
    <w:rsid w:val="0D87022C"/>
    <w:rsid w:val="0E6F37D9"/>
    <w:rsid w:val="112936A0"/>
    <w:rsid w:val="1250416D"/>
    <w:rsid w:val="13B82E0D"/>
    <w:rsid w:val="13C33D6D"/>
    <w:rsid w:val="141D039C"/>
    <w:rsid w:val="14855664"/>
    <w:rsid w:val="17432B85"/>
    <w:rsid w:val="1909264A"/>
    <w:rsid w:val="196A3D71"/>
    <w:rsid w:val="198119BE"/>
    <w:rsid w:val="1B78482C"/>
    <w:rsid w:val="1C6D1D31"/>
    <w:rsid w:val="1D654F62"/>
    <w:rsid w:val="204B1966"/>
    <w:rsid w:val="205A7194"/>
    <w:rsid w:val="210F4887"/>
    <w:rsid w:val="22273516"/>
    <w:rsid w:val="2233056C"/>
    <w:rsid w:val="23513756"/>
    <w:rsid w:val="250F1490"/>
    <w:rsid w:val="25FF7D86"/>
    <w:rsid w:val="292A0545"/>
    <w:rsid w:val="2B26350E"/>
    <w:rsid w:val="2B5C1C56"/>
    <w:rsid w:val="2BCF3D4E"/>
    <w:rsid w:val="2C97708E"/>
    <w:rsid w:val="2D550DF7"/>
    <w:rsid w:val="2DBA0562"/>
    <w:rsid w:val="31352995"/>
    <w:rsid w:val="32A96D1A"/>
    <w:rsid w:val="34032DB0"/>
    <w:rsid w:val="34B82D6F"/>
    <w:rsid w:val="373703E1"/>
    <w:rsid w:val="37580FE7"/>
    <w:rsid w:val="396616D2"/>
    <w:rsid w:val="39A71DAE"/>
    <w:rsid w:val="3D8C4411"/>
    <w:rsid w:val="402A1488"/>
    <w:rsid w:val="40465DD0"/>
    <w:rsid w:val="40CC1D5D"/>
    <w:rsid w:val="416268DB"/>
    <w:rsid w:val="419D1B35"/>
    <w:rsid w:val="452F6292"/>
    <w:rsid w:val="47AF499B"/>
    <w:rsid w:val="484D612A"/>
    <w:rsid w:val="48A9072C"/>
    <w:rsid w:val="4D903B41"/>
    <w:rsid w:val="4DA8126D"/>
    <w:rsid w:val="4DD72226"/>
    <w:rsid w:val="4EA300AE"/>
    <w:rsid w:val="4FF77B24"/>
    <w:rsid w:val="50622DD8"/>
    <w:rsid w:val="51C77E42"/>
    <w:rsid w:val="54B1376D"/>
    <w:rsid w:val="56311F34"/>
    <w:rsid w:val="564548F7"/>
    <w:rsid w:val="565305B1"/>
    <w:rsid w:val="56C73340"/>
    <w:rsid w:val="59441D15"/>
    <w:rsid w:val="5A3206F2"/>
    <w:rsid w:val="5CE63392"/>
    <w:rsid w:val="5F092B01"/>
    <w:rsid w:val="61EF1B1B"/>
    <w:rsid w:val="621A3658"/>
    <w:rsid w:val="62B62979"/>
    <w:rsid w:val="64252B6E"/>
    <w:rsid w:val="651520BC"/>
    <w:rsid w:val="661A6258"/>
    <w:rsid w:val="6A136FDE"/>
    <w:rsid w:val="6A752B54"/>
    <w:rsid w:val="6EA6456E"/>
    <w:rsid w:val="723906FB"/>
    <w:rsid w:val="74517818"/>
    <w:rsid w:val="75840CDB"/>
    <w:rsid w:val="75FA50B5"/>
    <w:rsid w:val="77781E83"/>
    <w:rsid w:val="78062181"/>
    <w:rsid w:val="794965D5"/>
    <w:rsid w:val="79721D79"/>
    <w:rsid w:val="79D61FC6"/>
    <w:rsid w:val="7CF82ADB"/>
    <w:rsid w:val="7E323DCB"/>
    <w:rsid w:val="7E924C2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3093</Words>
  <Characters>3408</Characters>
  <Lines>16</Lines>
  <Paragraphs>4</Paragraphs>
  <TotalTime>3</TotalTime>
  <ScaleCrop>false</ScaleCrop>
  <LinksUpToDate>false</LinksUpToDate>
  <CharactersWithSpaces>3491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无言</cp:lastModifiedBy>
  <cp:lastPrinted>2022-04-13T10:13:00Z</cp:lastPrinted>
  <dcterms:modified xsi:type="dcterms:W3CDTF">2023-09-21T05:46:52Z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6EA1DD39AB86407E9DAA7257912D4FFA_13</vt:lpwstr>
  </property>
</Properties>
</file>