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赵家乡卫生院</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我院</w:t>
      </w:r>
      <w:r>
        <w:rPr>
          <w:rFonts w:hint="eastAsia" w:ascii="仿宋_GB2312" w:hAnsi="仿宋_GB2312" w:eastAsia="仿宋_GB2312" w:cs="仿宋_GB2312"/>
          <w:sz w:val="32"/>
          <w:szCs w:val="32"/>
          <w:highlight w:val="none"/>
        </w:rPr>
        <w:t>现有专业技术人员</w:t>
      </w:r>
      <w:r>
        <w:rPr>
          <w:rFonts w:ascii="仿宋_GB2312" w:hAnsi="仿宋_GB2312" w:eastAsia="仿宋_GB2312" w:cs="仿宋_GB2312"/>
          <w:sz w:val="32"/>
          <w:szCs w:val="32"/>
          <w:highlight w:val="none"/>
        </w:rPr>
        <w:t>26</w:t>
      </w:r>
      <w:r>
        <w:rPr>
          <w:rFonts w:hint="eastAsia" w:ascii="仿宋_GB2312" w:hAnsi="仿宋_GB2312" w:eastAsia="仿宋_GB2312" w:cs="仿宋_GB2312"/>
          <w:sz w:val="32"/>
          <w:szCs w:val="32"/>
          <w:highlight w:val="none"/>
        </w:rPr>
        <w:t>人（包括乡村医生</w:t>
      </w: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名），其中正式在编</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人特岗全科医生1人，财政招聘6人；其中按执业资格分：执业医师</w:t>
      </w:r>
      <w:r>
        <w:rPr>
          <w:rFonts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rPr>
        <w:t>人，执业助理医师</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人，护师</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人、执业护士</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人。现有健康一体机</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台、心电图机1台，DR、彩超、便携式心电图机、全自动生化分析仪、血球分析仪、尿液分析仪、心电监护仪、红外线治疗仪、中医超声治疗仪、牵引床、熏蒸仪、疼痛治疗仪、经皮神经电刺激仪、温热磁治疗仪等医疗设备。目前设有全科门诊、中医门诊、综合内科、中医科、放射科、治疗室、检验室、B超室、西药房等9个临床科室，设有办公室、财务室、医保办、基本公共卫生室、免疫规划室等6个辅助科室。</w:t>
      </w:r>
    </w:p>
    <w:p>
      <w:pPr>
        <w:spacing w:line="640" w:lineRule="exact"/>
        <w:rPr>
          <w:rFonts w:hint="eastAsia" w:ascii="仿宋_GB2312" w:hAnsi="黑体" w:eastAsia="仿宋_GB2312"/>
          <w:b/>
          <w:sz w:val="44"/>
          <w:szCs w:val="44"/>
          <w:lang w:val="en-US" w:eastAsia="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收入总计2987488.31元，支出总计2987488.31元，与2021年决算数相比，收入增加800044.44元，增长36.57%，支出增加637838.5元，增长27.14%。主要原因是2022年公卫资金、药物制度支出较2021年增多。</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298.74</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236.4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79.13</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62.34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20.87</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298.75</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180.61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60.46</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118.14</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39.54</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2363990.85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498409.54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26.71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 xml:space="preserve">2022年公卫资金、药物制度资金下达较2021年增多。    </w:t>
      </w:r>
    </w:p>
    <w:p>
      <w:pPr>
        <w:pageBreakBefore w:val="0"/>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2363990.85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498409.54</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26.71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公卫资金、药物制度资金支出增多</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236.4</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49.84</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26.71</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公卫资金、药物制度资金支出增多</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default" w:ascii="仿宋_GB2312" w:hAnsi="仿宋_GB2312" w:eastAsia="仿宋_GB2312" w:cs="仿宋_GB2312"/>
          <w:b/>
          <w:color w:val="auto"/>
          <w:kern w:val="2"/>
          <w:sz w:val="32"/>
          <w:szCs w:val="32"/>
          <w:lang w:val="en-US" w:eastAsia="zh-CN"/>
        </w:rPr>
      </w:pPr>
      <w:r>
        <w:rPr>
          <w:rFonts w:hint="eastAsia" w:ascii="仿宋_GB2312" w:hAnsi="仿宋_GB2312" w:eastAsia="仿宋_GB2312" w:cs="仿宋_GB2312"/>
          <w:b/>
          <w:color w:val="auto"/>
          <w:kern w:val="2"/>
          <w:sz w:val="32"/>
          <w:szCs w:val="32"/>
          <w:lang w:val="en-US" w:eastAsia="zh-CN"/>
        </w:rPr>
        <w:t xml:space="preserve"> 1.一般公共服务支出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218</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218</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w:t>
      </w:r>
      <w:bookmarkStart w:id="0" w:name="_GoBack"/>
      <w:bookmarkEnd w:id="0"/>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7.49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7.49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118.25</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118.25</w:t>
      </w:r>
      <w:r>
        <w:rPr>
          <w:rFonts w:hint="eastAsia" w:ascii="仿宋_GB2312" w:hAnsi="仿宋_GB2312" w:eastAsia="仿宋_GB2312" w:cs="仿宋_GB2312"/>
          <w:color w:val="auto"/>
          <w:sz w:val="32"/>
          <w:szCs w:val="32"/>
          <w:lang w:val="zh-CN"/>
        </w:rPr>
        <w:t>万元,较上年决算数</w:t>
      </w:r>
      <w:r>
        <w:rPr>
          <w:rFonts w:hint="eastAsia" w:ascii="仿宋_GB2312" w:hAnsi="仿宋_GB2312" w:eastAsia="仿宋_GB2312" w:cs="仿宋_GB2312"/>
          <w:color w:val="auto"/>
          <w:sz w:val="32"/>
          <w:szCs w:val="32"/>
          <w:lang w:val="en-US" w:eastAsia="zh-CN"/>
        </w:rPr>
        <w:t>减少5.9</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减少4.7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人员减少，人员基本工资、养老医疗、公积金都有减少</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Y2M3NDA4YTkyN2QwZWY0NmUzMjhkNDE4Yjk4ZjUifQ=="/>
  </w:docVars>
  <w:rsids>
    <w:rsidRoot w:val="00000000"/>
    <w:rsid w:val="008C6C96"/>
    <w:rsid w:val="02AA4B1F"/>
    <w:rsid w:val="07292279"/>
    <w:rsid w:val="09061F52"/>
    <w:rsid w:val="0D386A9E"/>
    <w:rsid w:val="118F1B21"/>
    <w:rsid w:val="11B25539"/>
    <w:rsid w:val="12A34BDD"/>
    <w:rsid w:val="16770DEC"/>
    <w:rsid w:val="17B00335"/>
    <w:rsid w:val="19E37A7A"/>
    <w:rsid w:val="1AD863F9"/>
    <w:rsid w:val="1DA027A1"/>
    <w:rsid w:val="23250B58"/>
    <w:rsid w:val="24FB24D8"/>
    <w:rsid w:val="296D45C8"/>
    <w:rsid w:val="2C286950"/>
    <w:rsid w:val="2CCA02D3"/>
    <w:rsid w:val="302D2CFD"/>
    <w:rsid w:val="30DD7BD3"/>
    <w:rsid w:val="32D735D2"/>
    <w:rsid w:val="3BE06C83"/>
    <w:rsid w:val="40852F77"/>
    <w:rsid w:val="44107B5E"/>
    <w:rsid w:val="470E7B71"/>
    <w:rsid w:val="483B1A2C"/>
    <w:rsid w:val="496E016C"/>
    <w:rsid w:val="4DA644C0"/>
    <w:rsid w:val="53A94FC6"/>
    <w:rsid w:val="54237CF8"/>
    <w:rsid w:val="54A5281C"/>
    <w:rsid w:val="56754ADE"/>
    <w:rsid w:val="592F3172"/>
    <w:rsid w:val="59FD5DAF"/>
    <w:rsid w:val="5BEE108D"/>
    <w:rsid w:val="5C847877"/>
    <w:rsid w:val="5D387615"/>
    <w:rsid w:val="65E52B0F"/>
    <w:rsid w:val="66B221A6"/>
    <w:rsid w:val="67731D96"/>
    <w:rsid w:val="69724A37"/>
    <w:rsid w:val="69AA14E4"/>
    <w:rsid w:val="69F505BB"/>
    <w:rsid w:val="6C2F176C"/>
    <w:rsid w:val="6F9277B6"/>
    <w:rsid w:val="71A96D15"/>
    <w:rsid w:val="71F31B1A"/>
    <w:rsid w:val="749018A2"/>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4288</Words>
  <Characters>4580</Characters>
  <Lines>0</Lines>
  <Paragraphs>0</Paragraphs>
  <TotalTime>15</TotalTime>
  <ScaleCrop>false</ScaleCrop>
  <LinksUpToDate>false</LinksUpToDate>
  <CharactersWithSpaces>4591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2023-09-20T03:11:43Z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