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bookmarkStart w:id="0" w:name="_GoBack"/>
      <w:r>
        <w:rPr>
          <w:rFonts w:hint="eastAsia" w:ascii="仿宋_GB2312" w:hAnsi="仿宋_GB2312" w:eastAsia="仿宋_GB2312" w:cs="仿宋_GB2312"/>
          <w:kern w:val="0"/>
          <w:sz w:val="32"/>
          <w:szCs w:val="32"/>
          <w:lang w:val="en-US" w:eastAsia="zh-CN"/>
        </w:rPr>
        <w:t>东乡族自治县大树学校</w:t>
      </w:r>
      <w:r>
        <w:rPr>
          <w:rFonts w:hint="eastAsia" w:ascii="仿宋_GB2312" w:hAnsi="仿宋_GB2312" w:eastAsia="仿宋_GB2312" w:cs="仿宋_GB2312"/>
          <w:sz w:val="32"/>
          <w:szCs w:val="32"/>
          <w:lang w:val="zh-CN"/>
        </w:rPr>
        <w:t>（单位）部门决算情况说明</w:t>
      </w:r>
      <w:bookmarkEnd w:id="0"/>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rPr>
          <w:rFonts w:ascii="仿宋_GB2312" w:hAnsi="仿宋_GB2312" w:eastAsia="仿宋_GB2312" w:cs="仿宋_GB2312"/>
          <w:b/>
          <w:sz w:val="32"/>
          <w:szCs w:val="32"/>
          <w:lang w:val="zh-CN"/>
        </w:rPr>
      </w:pPr>
    </w:p>
    <w:p>
      <w:pPr>
        <w:rPr>
          <w:rFonts w:ascii="仿宋_GB2312" w:hAnsi="仿宋_GB2312" w:eastAsia="仿宋_GB2312" w:cs="仿宋_GB2312"/>
          <w:b/>
          <w:sz w:val="32"/>
          <w:szCs w:val="32"/>
          <w:lang w:val="zh-CN"/>
        </w:rPr>
      </w:pP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w:t>
      </w:r>
      <w:r>
        <w:rPr>
          <w:rFonts w:hint="eastAsia" w:ascii="仿宋_GB2312" w:hAnsi="仿宋_GB2312" w:eastAsia="仿宋_GB2312" w:cs="仿宋_GB2312"/>
          <w:color w:val="000000"/>
          <w:spacing w:val="0"/>
          <w:w w:val="100"/>
          <w:position w:val="0"/>
          <w:sz w:val="32"/>
          <w:szCs w:val="32"/>
          <w:lang w:val="en-US" w:eastAsia="zh-CN"/>
        </w:rPr>
        <w:t>学区</w:t>
      </w:r>
      <w:r>
        <w:rPr>
          <w:rFonts w:hint="eastAsia" w:ascii="仿宋_GB2312" w:hAnsi="仿宋_GB2312" w:eastAsia="仿宋_GB2312" w:cs="仿宋_GB2312"/>
          <w:color w:val="000000"/>
          <w:spacing w:val="0"/>
          <w:w w:val="100"/>
          <w:position w:val="0"/>
          <w:sz w:val="32"/>
          <w:szCs w:val="32"/>
        </w:rPr>
        <w:t>是由临夏州东乡县县教育局主管的财政全额拨款事业单位，实施</w:t>
      </w:r>
      <w:r>
        <w:rPr>
          <w:rFonts w:hint="eastAsia" w:ascii="仿宋_GB2312" w:hAnsi="仿宋_GB2312" w:eastAsia="仿宋_GB2312" w:cs="仿宋_GB2312"/>
          <w:color w:val="000000"/>
          <w:spacing w:val="0"/>
          <w:w w:val="100"/>
          <w:position w:val="0"/>
          <w:sz w:val="32"/>
          <w:szCs w:val="32"/>
          <w:lang w:val="en-US" w:eastAsia="zh-CN"/>
        </w:rPr>
        <w:t>义务教育小学及学前教育</w:t>
      </w:r>
      <w:r>
        <w:rPr>
          <w:rFonts w:hint="eastAsia" w:ascii="仿宋_GB2312" w:hAnsi="仿宋_GB2312" w:eastAsia="仿宋_GB2312" w:cs="仿宋_GB2312"/>
          <w:color w:val="000000"/>
          <w:spacing w:val="0"/>
          <w:w w:val="100"/>
          <w:position w:val="0"/>
          <w:sz w:val="32"/>
          <w:szCs w:val="32"/>
        </w:rPr>
        <w:t>学历教育，促进基础教育发展。</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ind w:firstLine="640" w:firstLineChars="200"/>
        <w:jc w:val="center"/>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东乡族自治县大树学校</w:t>
      </w:r>
      <w:r>
        <w:rPr>
          <w:rFonts w:hint="eastAsia" w:ascii="仿宋_GB2312" w:hAnsi="仿宋_GB2312" w:eastAsia="仿宋_GB2312" w:cs="仿宋_GB2312"/>
          <w:color w:val="000000"/>
          <w:spacing w:val="0"/>
          <w:w w:val="100"/>
          <w:position w:val="0"/>
          <w:sz w:val="32"/>
          <w:szCs w:val="32"/>
        </w:rPr>
        <w:t>为财政补助单位，编制部门核定为事业单位，独立核算机构1个。统一社会信用代码是12622926</w:t>
      </w:r>
      <w:r>
        <w:rPr>
          <w:rFonts w:hint="eastAsia" w:ascii="仿宋_GB2312" w:hAnsi="仿宋_GB2312" w:eastAsia="仿宋_GB2312" w:cs="仿宋_GB2312"/>
          <w:color w:val="000000"/>
          <w:spacing w:val="0"/>
          <w:w w:val="100"/>
          <w:position w:val="0"/>
          <w:sz w:val="32"/>
          <w:szCs w:val="32"/>
          <w:lang w:val="en-US" w:eastAsia="zh-CN"/>
        </w:rPr>
        <w:t>789643344K</w:t>
      </w:r>
      <w:r>
        <w:rPr>
          <w:rFonts w:hint="eastAsia" w:ascii="仿宋_GB2312" w:hAnsi="仿宋_GB2312" w:eastAsia="仿宋_GB2312" w:cs="仿宋_GB2312"/>
          <w:color w:val="000000"/>
          <w:spacing w:val="0"/>
          <w:w w:val="100"/>
          <w:position w:val="0"/>
          <w:sz w:val="32"/>
          <w:szCs w:val="32"/>
        </w:rPr>
        <w:t>，财政预算代码是P750</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，单位基本性质是事业单位，单位执行会计制度是事业单位会计制度，预算管理级次是县级，单位地址在临夏州东乡县</w:t>
      </w:r>
      <w:r>
        <w:rPr>
          <w:rFonts w:hint="eastAsia" w:ascii="仿宋_GB2312" w:hAnsi="仿宋_GB2312" w:eastAsia="仿宋_GB2312" w:cs="仿宋_GB2312"/>
          <w:color w:val="000000"/>
          <w:spacing w:val="0"/>
          <w:w w:val="100"/>
          <w:position w:val="0"/>
          <w:sz w:val="32"/>
          <w:szCs w:val="32"/>
          <w:lang w:val="en-US" w:eastAsia="zh-CN"/>
        </w:rPr>
        <w:t>大树乡大树村</w:t>
      </w:r>
      <w:r>
        <w:rPr>
          <w:rFonts w:hint="eastAsia" w:ascii="仿宋_GB2312" w:hAnsi="仿宋_GB2312" w:eastAsia="仿宋_GB2312" w:cs="仿宋_GB2312"/>
          <w:color w:val="000000"/>
          <w:spacing w:val="0"/>
          <w:w w:val="100"/>
          <w:position w:val="0"/>
          <w:sz w:val="32"/>
          <w:szCs w:val="32"/>
        </w:rPr>
        <w:t>。</w:t>
      </w: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第二部分2022年度部门决算表</w:t>
      </w:r>
    </w:p>
    <w:p>
      <w:pPr>
        <w:ind w:firstLine="643" w:firstLineChars="200"/>
        <w:jc w:val="center"/>
        <w:rPr>
          <w:rFonts w:hint="eastAsia" w:ascii="仿宋_GB2312" w:hAnsi="仿宋_GB2312" w:eastAsia="仿宋_GB2312" w:cs="仿宋_GB2312"/>
          <w:b/>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2022年度决算公开表格01》</w:t>
      </w:r>
    </w:p>
    <w:tbl>
      <w:tblPr>
        <w:tblStyle w:val="10"/>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5"/>
        <w:gridCol w:w="570"/>
        <w:gridCol w:w="2250"/>
        <w:gridCol w:w="4215"/>
        <w:gridCol w:w="5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l2br w:val="nil"/>
              <w:tr2bl w:val="nil"/>
            </w:tcBorders>
            <w:noWrap w:val="0"/>
            <w:vAlign w:val="top"/>
          </w:tcPr>
          <w:p>
            <w:pPr>
              <w:spacing w:beforeLines="0" w:afterLines="0"/>
              <w:jc w:val="center"/>
              <w:rPr>
                <w:rFonts w:hint="default" w:ascii="Arial" w:hAnsi="Arial"/>
                <w:color w:val="000000"/>
                <w:sz w:val="20"/>
                <w:szCs w:val="24"/>
              </w:rPr>
            </w:pPr>
            <w:r>
              <w:rPr>
                <w:rFonts w:hint="eastAsia" w:ascii="宋体" w:hAnsi="宋体"/>
                <w:color w:val="000000"/>
                <w:sz w:val="30"/>
                <w:szCs w:val="24"/>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15"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57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225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4215"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57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225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szCs w:val="24"/>
              </w:rPr>
            </w:pPr>
            <w:r>
              <w:rPr>
                <w:rFonts w:hint="eastAsia" w:ascii="宋体" w:hAnsi="宋体"/>
                <w:color w:val="000000"/>
                <w:sz w:val="20"/>
                <w:szCs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15" w:type="dxa"/>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0"/>
                <w:szCs w:val="24"/>
              </w:rPr>
            </w:pPr>
            <w:r>
              <w:rPr>
                <w:rFonts w:hint="eastAsia" w:ascii="宋体" w:hAnsi="宋体"/>
                <w:color w:val="000000"/>
                <w:sz w:val="20"/>
                <w:szCs w:val="24"/>
              </w:rPr>
              <w:t>部门：东乡族自治县大树学区</w:t>
            </w:r>
          </w:p>
        </w:tc>
        <w:tc>
          <w:tcPr>
            <w:tcW w:w="57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225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4215"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57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20"/>
                <w:szCs w:val="24"/>
              </w:rPr>
            </w:pPr>
          </w:p>
        </w:tc>
        <w:tc>
          <w:tcPr>
            <w:tcW w:w="2250" w:type="dxa"/>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20"/>
                <w:szCs w:val="24"/>
              </w:rPr>
            </w:pPr>
            <w:r>
              <w:rPr>
                <w:rFonts w:hint="eastAsia" w:ascii="宋体" w:hAnsi="宋体"/>
                <w:color w:val="000000"/>
                <w:sz w:val="20"/>
                <w:szCs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single" w:color="000000" w:sz="6" w:space="0"/>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收入</w:t>
            </w:r>
          </w:p>
        </w:tc>
        <w:tc>
          <w:tcPr>
            <w:tcW w:w="570" w:type="dxa"/>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2250" w:type="dxa"/>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4215" w:type="dxa"/>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支出</w:t>
            </w:r>
          </w:p>
        </w:tc>
        <w:tc>
          <w:tcPr>
            <w:tcW w:w="570" w:type="dxa"/>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2250" w:type="dxa"/>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行次</w:t>
            </w:r>
          </w:p>
        </w:tc>
        <w:tc>
          <w:tcPr>
            <w:tcW w:w="225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金额</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行次</w:t>
            </w:r>
          </w:p>
        </w:tc>
        <w:tc>
          <w:tcPr>
            <w:tcW w:w="225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栏次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225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栏次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p>
        </w:tc>
        <w:tc>
          <w:tcPr>
            <w:tcW w:w="225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一、一般公共预算财政拨款收入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15,431,274.98</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一、一般公共服务支出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二、政府性基金预算财政拨款收入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15,000.00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二、外交支出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三、国有资本经营预算财政拨款收入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三、国防支出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四、上级补助收入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四、公共安全支出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五、事业收入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五、教育支出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13,318,561.02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六、经营收入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六、科学技术支出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34,566.00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七、附属单位上缴收入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7</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七、文化旅游体育与传媒支出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八、其他收入</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8</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296,368.32</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八、社会保障和就业支出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638,315.52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9</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九、卫生健康支出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413,407.74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10</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十、节能环保支出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11</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十一、城乡社区支出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12</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十二、农林水支出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13</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十三、交通运输支出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14</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十四、资源勘探工业信息等支出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15</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十五、商业服务业等支出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16</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十六、金融支出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17</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十七、援助其他地区支出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18</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十八、自然资源海洋气象等支出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19</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十九、住房保障支出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754,515.00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20</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二十、粮油物资储备支出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21</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二十一、国有资本经营预算支出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22</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二十二、灾害防治及应急管理支出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23</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二十三、其他支出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b/>
                <w:color w:val="000000"/>
                <w:sz w:val="20"/>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24</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0"/>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二十四、债务还本支出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0"/>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25</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0"/>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二十五、债务付息支出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0"/>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0"/>
                <w:szCs w:val="24"/>
              </w:rPr>
            </w:pPr>
            <w:r>
              <w:rPr>
                <w:rFonts w:hint="eastAsia" w:ascii="宋体" w:hAnsi="宋体"/>
                <w:color w:val="000000"/>
                <w:sz w:val="20"/>
                <w:szCs w:val="24"/>
              </w:rPr>
              <w:t>26</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0"/>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二十六、抗疫特别国债安排的支出</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本年收入合计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27</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15,742,643.30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本年支出合计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15,174,365.28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使用非财政拨款结余</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28</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结余分配</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年初结转和结余</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29</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32,562.11</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年末结转和结余</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600,840.13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30</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left"/>
              <w:rPr>
                <w:rFonts w:hint="eastAsia" w:ascii="宋体" w:hAnsi="宋体"/>
                <w:color w:val="000000"/>
                <w:sz w:val="22"/>
                <w:szCs w:val="24"/>
              </w:rPr>
            </w:pP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15" w:type="dxa"/>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总计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31</w:t>
            </w:r>
          </w:p>
        </w:tc>
        <w:tc>
          <w:tcPr>
            <w:tcW w:w="2250" w:type="dxa"/>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15,775,205.41</w:t>
            </w:r>
          </w:p>
        </w:tc>
        <w:tc>
          <w:tcPr>
            <w:tcW w:w="4215"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总计</w:t>
            </w:r>
          </w:p>
        </w:tc>
        <w:tc>
          <w:tcPr>
            <w:tcW w:w="570" w:type="dxa"/>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15,775,205.41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2022年度决算公开表格02表》</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86"/>
        <w:gridCol w:w="222"/>
        <w:gridCol w:w="240"/>
        <w:gridCol w:w="3661"/>
        <w:gridCol w:w="1641"/>
        <w:gridCol w:w="1641"/>
        <w:gridCol w:w="655"/>
        <w:gridCol w:w="655"/>
        <w:gridCol w:w="655"/>
        <w:gridCol w:w="655"/>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4174" w:type="dxa"/>
            <w:gridSpan w:val="11"/>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2786" w:type="dxa"/>
            <w:tcBorders>
              <w:top w:val="nil"/>
              <w:left w:val="nil"/>
              <w:bottom w:val="nil"/>
              <w:right w:val="nil"/>
            </w:tcBorders>
            <w:shd w:val="clear" w:color="auto" w:fill="auto"/>
            <w:noWrap/>
            <w:vAlign w:val="bottom"/>
          </w:tcPr>
          <w:p>
            <w:pPr>
              <w:spacing w:line="240" w:lineRule="auto"/>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366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403" w:type="dxa"/>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786" w:type="dxa"/>
            <w:tcBorders>
              <w:top w:val="nil"/>
              <w:left w:val="nil"/>
              <w:bottom w:val="nil"/>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222"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366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641"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655" w:type="dxa"/>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403" w:type="dxa"/>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686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4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0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3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66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3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3661" w:type="dxa"/>
            <w:vMerge w:val="continue"/>
            <w:tcBorders>
              <w:top w:val="nil"/>
              <w:left w:val="nil"/>
              <w:bottom w:val="single" w:color="000000" w:sz="4" w:space="0"/>
              <w:right w:val="single" w:color="000000" w:sz="4" w:space="0"/>
            </w:tcBorders>
            <w:shd w:val="clear" w:color="FFFFFF" w:fill="C0C0C0"/>
            <w:noWrap/>
            <w:vAlign w:val="center"/>
          </w:tcPr>
          <w:p>
            <w:pPr>
              <w:spacing w:line="240" w:lineRule="auto"/>
              <w:jc w:val="center"/>
              <w:rPr>
                <w:rFonts w:hint="eastAsia" w:ascii="宋体" w:hAnsi="宋体" w:eastAsia="宋体" w:cs="宋体"/>
                <w:i w:val="0"/>
                <w:iCs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3234"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3661" w:type="dxa"/>
            <w:vMerge w:val="continue"/>
            <w:tcBorders>
              <w:top w:val="nil"/>
              <w:left w:val="nil"/>
              <w:bottom w:val="single" w:color="000000" w:sz="4" w:space="0"/>
              <w:right w:val="single" w:color="000000" w:sz="4" w:space="0"/>
            </w:tcBorders>
            <w:shd w:val="clear" w:color="FFFFFF" w:fill="C0C0C0"/>
            <w:noWrap/>
            <w:vAlign w:val="center"/>
          </w:tcPr>
          <w:p>
            <w:pPr>
              <w:spacing w:line="240" w:lineRule="auto"/>
              <w:jc w:val="center"/>
              <w:rPr>
                <w:rFonts w:hint="eastAsia" w:ascii="宋体" w:hAnsi="宋体" w:eastAsia="宋体" w:cs="宋体"/>
                <w:i w:val="0"/>
                <w:iCs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641"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655"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403" w:type="dxa"/>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7" w:hRule="atLeast"/>
        </w:trPr>
        <w:tc>
          <w:tcPr>
            <w:tcW w:w="6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4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68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15,742,643.30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15,446,274.98</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296,368.32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13,328,312.96</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13,271,312.96</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教育管理事务</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609,392.72</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609,392.72</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2050101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行政运行</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2050199</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其他教育管理事务支出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607,392.72</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607,392.72</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普通教育</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12,718,920.24</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12,661,920.24</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405,104.42</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405,104.42</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2050202</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小学教育</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9,887,004.00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9,830,004.00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2050299</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其他普通教育支出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2,426,811.82</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2,426,811.82</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其他科学技术支出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2069999</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其他科学技术支出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34,566.00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1,196,841.60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957,473.28</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239,368.32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1,196,841.60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957,473.28</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239,368.32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1,196,841.60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957,473.28</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239,368.32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21012</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财政对基本医疗保险基金的补助</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2101201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财政对职工基本医疗保险基金的补助</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413,407.74</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住房改革支出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754,515.00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22960</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彩票公益金安排的支出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32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2296004</w:t>
            </w:r>
          </w:p>
        </w:tc>
        <w:tc>
          <w:tcPr>
            <w:tcW w:w="36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用于教育事业的彩票公益金支出</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16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14174" w:type="dxa"/>
            <w:gridSpan w:val="11"/>
            <w:tcBorders>
              <w:top w:val="nil"/>
              <w:left w:val="nil"/>
              <w:bottom w:val="nil"/>
              <w:right w:val="nil"/>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2022年度决算公开表格03表》</w:t>
      </w:r>
    </w:p>
    <w:tbl>
      <w:tblPr>
        <w:tblStyle w:val="10"/>
        <w:tblW w:w="13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660"/>
        <w:gridCol w:w="660"/>
        <w:gridCol w:w="66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328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1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80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280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280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1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15,174,365.28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15,174,365.28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13,318,561.02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13,318,561.02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12,709,168.30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12,709,168.30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405,104.42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405,104.42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9,874,984.00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9,874,984.00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2,429,079.88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2,429,079.88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2022年度决算公开表格04表》</w:t>
      </w:r>
    </w:p>
    <w:tbl>
      <w:tblPr>
        <w:tblStyle w:val="10"/>
        <w:tblW w:w="140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93"/>
        <w:gridCol w:w="810"/>
        <w:gridCol w:w="1485"/>
        <w:gridCol w:w="2685"/>
        <w:gridCol w:w="1110"/>
        <w:gridCol w:w="1380"/>
        <w:gridCol w:w="1470"/>
        <w:gridCol w:w="123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14053"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59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9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8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488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16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59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6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259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15,431,274.98</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15,000.00</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13,273,581.02</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13,273,581.02</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34,566.00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34,566.00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638,315.52</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638,315.52</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413,407.74</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413,407.74</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754,515.00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754,515.00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3"/>
                <w:szCs w:val="13"/>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4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15,446,274.98</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15,129,385.28</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15,114,385.28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年初财政拨款结转和结余</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2,562.11</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年末财政拨款结转和结余</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319,451.81</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319,451.81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一般公共预算财政拨款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2,562.11</w:t>
            </w:r>
          </w:p>
        </w:tc>
        <w:tc>
          <w:tcPr>
            <w:tcW w:w="268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68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国有资本经营预算财政拨款</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68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2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59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8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48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15,448,837.09</w:t>
            </w:r>
          </w:p>
        </w:tc>
        <w:tc>
          <w:tcPr>
            <w:tcW w:w="26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11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15,448,837.09</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15,433,837.09</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15,000.00</w:t>
            </w:r>
          </w:p>
        </w:tc>
        <w:tc>
          <w:tcPr>
            <w:tcW w:w="12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276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29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2022年度决算公开表格05表》</w:t>
      </w:r>
    </w:p>
    <w:tbl>
      <w:tblPr>
        <w:tblStyle w:val="10"/>
        <w:tblW w:w="13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7"/>
        <w:gridCol w:w="246"/>
        <w:gridCol w:w="246"/>
        <w:gridCol w:w="4379"/>
        <w:gridCol w:w="2008"/>
        <w:gridCol w:w="2008"/>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2" w:hRule="atLeast"/>
        </w:trPr>
        <w:tc>
          <w:tcPr>
            <w:tcW w:w="1372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62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365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365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15,114,385.28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15,114,385.28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13,273,581.02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13,273,581.02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607,392.72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12,664,188.30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12,664,188.30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405,104.42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405,104.42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9,830,004.00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9,830,004.00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2,429,079.88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2,429,079.88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638,315.52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413,407.74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754,515.00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2022年度决算公开表格06表》</w:t>
      </w: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56"/>
        <w:gridCol w:w="2438"/>
        <w:gridCol w:w="1179"/>
        <w:gridCol w:w="586"/>
        <w:gridCol w:w="1697"/>
        <w:gridCol w:w="1105"/>
        <w:gridCol w:w="586"/>
        <w:gridCol w:w="3031"/>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1404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34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5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5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0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234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10,069,012.26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1,419,109.26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5,164,314.00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688,907.16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2,275,504.00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100,675.55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351,924.00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638,315.52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45,472.68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28,098.20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405,739.74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213,482.42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7,668.00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754,515.00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49,397.00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471,032.00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3,626,263.76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2,169,051.76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71,733.50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108,492.00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1,457,212.00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50,506.00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13,695,276.02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1,419,109.26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2022年度决算公开表格07》</w:t>
      </w: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0"/>
        <w:gridCol w:w="222"/>
        <w:gridCol w:w="222"/>
        <w:gridCol w:w="3280"/>
        <w:gridCol w:w="885"/>
        <w:gridCol w:w="1461"/>
        <w:gridCol w:w="1461"/>
        <w:gridCol w:w="1461"/>
        <w:gridCol w:w="885"/>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2022年度决算公开表格08表》因本单位无相关数据，故此表无数据。</w:t>
      </w:r>
    </w:p>
    <w:p>
      <w:pPr>
        <w:pStyle w:val="13"/>
        <w:ind w:left="1270" w:firstLine="0" w:firstLineChars="0"/>
        <w:jc w:val="left"/>
        <w:rPr>
          <w:rFonts w:ascii="仿宋_GB2312" w:hAnsi="仿宋_GB2312" w:eastAsia="仿宋_GB2312" w:cs="仿宋_GB2312"/>
          <w:sz w:val="32"/>
          <w:szCs w:val="32"/>
          <w:lang w:val="zh-CN"/>
        </w:rPr>
      </w:pP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4"/>
        <w:gridCol w:w="350"/>
        <w:gridCol w:w="349"/>
        <w:gridCol w:w="1687"/>
        <w:gridCol w:w="2146"/>
        <w:gridCol w:w="2146"/>
        <w:gridCol w:w="2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36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17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4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17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17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firstLine="1120" w:firstLineChars="35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2022年度决算公开表格09表》，因本单位无相关数据，故此表无数据。</w:t>
      </w: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01"/>
        <w:gridCol w:w="1173"/>
        <w:gridCol w:w="1032"/>
        <w:gridCol w:w="1032"/>
        <w:gridCol w:w="1032"/>
        <w:gridCol w:w="1032"/>
        <w:gridCol w:w="1032"/>
        <w:gridCol w:w="1173"/>
        <w:gridCol w:w="1032"/>
        <w:gridCol w:w="1032"/>
        <w:gridCol w:w="1033"/>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6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部门：东乡族自治县大树学区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6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本部门（本单位）收入总计15775205.41元，支出总计15775205.41元，与2021年决算数相比，收入增加2086040.71元，增长1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.2%，支出总计15775205.41元，与2021年决算数相比增加71292.26元，增长1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.2%%。主要原因是2022年单位人员</w:t>
      </w:r>
      <w:r>
        <w:rPr>
          <w:rFonts w:hint="eastAsia" w:ascii="仿宋_GB2312" w:hAnsi="仿宋_GB2312" w:eastAsia="仿宋_GB2312" w:cs="仿宋_GB2312"/>
          <w:color w:val="000000"/>
          <w:sz w:val="32"/>
          <w:szCs w:val="32"/>
          <w:lang w:val="en-US" w:eastAsia="zh-CN"/>
        </w:rPr>
        <w:t>结构发生变化及</w:t>
      </w:r>
      <w:r>
        <w:rPr>
          <w:rFonts w:hint="eastAsia" w:ascii="仿宋_GB2312" w:hAnsi="仿宋_GB2312" w:eastAsia="仿宋_GB2312" w:cs="仿宋_GB2312"/>
          <w:color w:val="000000"/>
          <w:sz w:val="32"/>
          <w:szCs w:val="32"/>
        </w:rPr>
        <w:t>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15775205.41</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15446274.98</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15775205.41</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15,174,365.28</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96.2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年末结转结余</w:t>
      </w:r>
      <w:r>
        <w:rPr>
          <w:rFonts w:hint="eastAsia" w:ascii="仿宋_GB2312" w:hAnsi="仿宋_GB2312" w:eastAsia="仿宋_GB2312" w:cs="仿宋_GB2312"/>
          <w:color w:val="000000"/>
          <w:spacing w:val="0"/>
          <w:w w:val="100"/>
          <w:position w:val="0"/>
          <w:sz w:val="32"/>
          <w:szCs w:val="32"/>
        </w:rPr>
        <w:t>600840.13</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sz w:val="32"/>
          <w:szCs w:val="32"/>
          <w:lang w:val="zh-CN"/>
        </w:rPr>
        <w:t>占</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15446274.98</w:t>
      </w:r>
      <w:r>
        <w:rPr>
          <w:rFonts w:hint="eastAsia" w:ascii="仿宋_GB2312" w:hAnsi="仿宋_GB2312" w:eastAsia="仿宋_GB2312" w:cs="仿宋_GB2312"/>
          <w:color w:val="000000"/>
          <w:sz w:val="32"/>
          <w:szCs w:val="32"/>
        </w:rPr>
        <w:t>元，较上年决算数增加1873867.34元，增长</w:t>
      </w:r>
      <w:r>
        <w:rPr>
          <w:rFonts w:hint="eastAsia" w:ascii="仿宋_GB2312" w:hAnsi="仿宋_GB2312" w:eastAsia="仿宋_GB2312" w:cs="仿宋_GB2312"/>
          <w:color w:val="000000"/>
          <w:sz w:val="32"/>
          <w:szCs w:val="32"/>
          <w:lang w:val="en-US" w:eastAsia="zh-CN"/>
        </w:rPr>
        <w:t>13.8</w:t>
      </w:r>
      <w:r>
        <w:rPr>
          <w:rFonts w:hint="eastAsia" w:ascii="仿宋_GB2312" w:hAnsi="仿宋_GB2312" w:eastAsia="仿宋_GB2312" w:cs="仿宋_GB2312"/>
          <w:color w:val="000000"/>
          <w:sz w:val="32"/>
          <w:szCs w:val="32"/>
        </w:rPr>
        <w:t>%。主要原因是单位人员</w:t>
      </w:r>
      <w:r>
        <w:rPr>
          <w:rFonts w:hint="eastAsia" w:ascii="仿宋_GB2312" w:hAnsi="仿宋_GB2312" w:eastAsia="仿宋_GB2312" w:cs="仿宋_GB2312"/>
          <w:color w:val="000000"/>
          <w:sz w:val="32"/>
          <w:szCs w:val="32"/>
          <w:lang w:val="en-US" w:eastAsia="zh-CN"/>
        </w:rPr>
        <w:t>结构发生变化及工资福利</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sz w:val="32"/>
          <w:szCs w:val="32"/>
        </w:rPr>
        <w:t>15,174,365.28</w:t>
      </w:r>
      <w:r>
        <w:rPr>
          <w:rFonts w:hint="eastAsia" w:ascii="仿宋_GB2312" w:hAnsi="仿宋_GB2312" w:eastAsia="仿宋_GB2312" w:cs="仿宋_GB2312"/>
          <w:color w:val="000000"/>
          <w:sz w:val="32"/>
          <w:szCs w:val="32"/>
        </w:rPr>
        <w:t>元，较上年决算数增加1532074.69元，增长1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.2%。主要原因是人员</w:t>
      </w:r>
      <w:r>
        <w:rPr>
          <w:rFonts w:hint="eastAsia" w:ascii="仿宋_GB2312" w:hAnsi="仿宋_GB2312" w:eastAsia="仿宋_GB2312" w:cs="仿宋_GB2312"/>
          <w:color w:val="000000"/>
          <w:sz w:val="32"/>
          <w:szCs w:val="32"/>
          <w:lang w:val="en-US" w:eastAsia="zh-CN"/>
        </w:rPr>
        <w:t>工资福利</w:t>
      </w:r>
      <w:r>
        <w:rPr>
          <w:rFonts w:hint="eastAsia" w:ascii="仿宋_GB2312" w:hAnsi="仿宋_GB2312" w:eastAsia="仿宋_GB2312" w:cs="仿宋_GB2312"/>
          <w:color w:val="000000"/>
          <w:sz w:val="32"/>
          <w:szCs w:val="32"/>
        </w:rPr>
        <w:t>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15,114,385.28</w:t>
      </w:r>
      <w:r>
        <w:rPr>
          <w:rFonts w:hint="eastAsia" w:ascii="仿宋_GB2312" w:hAnsi="仿宋_GB2312" w:eastAsia="仿宋_GB2312" w:cs="仿宋_GB2312"/>
          <w:sz w:val="32"/>
          <w:szCs w:val="32"/>
          <w:lang w:val="zh-CN"/>
        </w:rPr>
        <w:t>元,较上年决算数增加1540885.89元,增加</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w:t>
      </w:r>
      <w:r>
        <w:rPr>
          <w:rFonts w:hint="eastAsia" w:ascii="仿宋_GB2312" w:hAnsi="仿宋_GB2312" w:eastAsia="仿宋_GB2312" w:cs="仿宋_GB2312"/>
          <w:color w:val="000000"/>
          <w:sz w:val="32"/>
          <w:szCs w:val="32"/>
          <w:lang w:val="en-US" w:eastAsia="zh-CN"/>
        </w:rPr>
        <w:t>工资福利</w:t>
      </w:r>
      <w:r>
        <w:rPr>
          <w:rFonts w:hint="eastAsia" w:ascii="仿宋_GB2312" w:hAnsi="仿宋_GB2312" w:eastAsia="仿宋_GB2312" w:cs="仿宋_GB2312"/>
          <w:color w:val="FF0000"/>
          <w:sz w:val="32"/>
          <w:szCs w:val="32"/>
          <w:lang w:val="zh-CN"/>
        </w:rPr>
        <w:t>增加。</w:t>
      </w:r>
    </w:p>
    <w:p>
      <w:pPr>
        <w:ind w:firstLine="643" w:firstLineChars="200"/>
        <w:jc w:val="left"/>
        <w:rPr>
          <w:rFonts w:ascii="仿宋_GB2312" w:hAnsi="仿宋_GB2312" w:eastAsia="仿宋_GB2312" w:cs="仿宋_GB2312"/>
          <w:color w:val="FF0000"/>
          <w:sz w:val="32"/>
          <w:szCs w:val="32"/>
          <w:highlight w:val="yellow"/>
          <w:lang w:val="zh-CN"/>
        </w:rPr>
      </w:pPr>
      <w:r>
        <w:rPr>
          <w:rFonts w:hint="eastAsia" w:ascii="仿宋_GB2312" w:hAnsi="仿宋_GB2312" w:eastAsia="仿宋_GB2312" w:cs="仿宋_GB2312"/>
          <w:b/>
          <w:sz w:val="32"/>
          <w:szCs w:val="32"/>
          <w:highlight w:val="yellow"/>
          <w:lang w:val="zh-CN"/>
        </w:rPr>
        <w:t>1.一般公共服务支出</w:t>
      </w:r>
      <w:r>
        <w:rPr>
          <w:rFonts w:hint="eastAsia" w:ascii="仿宋_GB2312" w:hAnsi="仿宋_GB2312" w:eastAsia="仿宋_GB2312" w:cs="仿宋_GB2312"/>
          <w:sz w:val="32"/>
          <w:szCs w:val="32"/>
          <w:highlight w:val="yellow"/>
          <w:lang w:val="zh-CN"/>
        </w:rPr>
        <w:t>年初预算数为</w:t>
      </w:r>
      <w:r>
        <w:rPr>
          <w:rFonts w:hint="eastAsia" w:ascii="仿宋_GB2312" w:hAnsi="仿宋_GB2312" w:eastAsia="仿宋_GB2312" w:cs="仿宋_GB2312"/>
          <w:sz w:val="32"/>
          <w:szCs w:val="32"/>
        </w:rPr>
        <w:t>15,11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4,38528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highlight w:val="yellow"/>
          <w:lang w:val="zh-CN"/>
        </w:rPr>
        <w:t>元,支出决算为</w:t>
      </w:r>
      <w:r>
        <w:rPr>
          <w:rFonts w:hint="eastAsia" w:ascii="仿宋_GB2312" w:hAnsi="仿宋_GB2312" w:eastAsia="仿宋_GB2312" w:cs="仿宋_GB2312"/>
          <w:sz w:val="32"/>
          <w:szCs w:val="32"/>
        </w:rPr>
        <w:t>15,11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4,38528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highlight w:val="yellow"/>
          <w:lang w:val="zh-CN"/>
        </w:rPr>
        <w:t>元,完成年初预算的</w:t>
      </w:r>
      <w:r>
        <w:rPr>
          <w:rFonts w:hint="eastAsia" w:ascii="仿宋_GB2312" w:hAnsi="仿宋_GB2312" w:eastAsia="仿宋_GB2312" w:cs="仿宋_GB2312"/>
          <w:sz w:val="32"/>
          <w:szCs w:val="32"/>
          <w:highlight w:val="yellow"/>
          <w:lang w:val="en-US" w:eastAsia="zh-CN"/>
        </w:rPr>
        <w:t>100</w:t>
      </w:r>
      <w:r>
        <w:rPr>
          <w:rFonts w:hint="eastAsia" w:ascii="仿宋_GB2312" w:hAnsi="仿宋_GB2312" w:eastAsia="仿宋_GB2312" w:cs="仿宋_GB2312"/>
          <w:sz w:val="32"/>
          <w:szCs w:val="32"/>
          <w:highlight w:val="yellow"/>
          <w:lang w:val="zh-CN"/>
        </w:rPr>
        <w:t>%</w:t>
      </w:r>
      <w:r>
        <w:rPr>
          <w:rFonts w:hint="eastAsia" w:ascii="仿宋_GB2312" w:hAnsi="仿宋_GB2312" w:eastAsia="仿宋_GB2312" w:cs="仿宋_GB2312"/>
          <w:color w:val="FF0000"/>
          <w:sz w:val="32"/>
          <w:szCs w:val="32"/>
          <w:highlight w:val="yellow"/>
          <w:lang w:val="zh-CN"/>
        </w:rPr>
        <w:t>。</w:t>
      </w:r>
    </w:p>
    <w:p>
      <w:pPr>
        <w:ind w:firstLine="643" w:firstLineChars="200"/>
        <w:jc w:val="left"/>
        <w:rPr>
          <w:rFonts w:ascii="仿宋_GB2312" w:hAnsi="仿宋_GB2312" w:eastAsia="仿宋_GB2312" w:cs="仿宋_GB2312"/>
          <w:color w:val="FF0000"/>
          <w:sz w:val="32"/>
          <w:szCs w:val="32"/>
          <w:highlight w:val="yellow"/>
          <w:lang w:val="zh-CN"/>
        </w:rPr>
      </w:pPr>
      <w:r>
        <w:rPr>
          <w:rFonts w:hint="eastAsia" w:ascii="仿宋_GB2312" w:hAnsi="仿宋_GB2312" w:eastAsia="仿宋_GB2312" w:cs="仿宋_GB2312"/>
          <w:b/>
          <w:sz w:val="32"/>
          <w:szCs w:val="32"/>
          <w:highlight w:val="yellow"/>
          <w:lang w:val="zh-CN"/>
        </w:rPr>
        <w:t>2.教育支出支出</w:t>
      </w:r>
      <w:r>
        <w:rPr>
          <w:rFonts w:hint="eastAsia" w:ascii="仿宋_GB2312" w:hAnsi="仿宋_GB2312" w:eastAsia="仿宋_GB2312" w:cs="仿宋_GB2312"/>
          <w:sz w:val="32"/>
          <w:szCs w:val="32"/>
          <w:highlight w:val="yellow"/>
          <w:lang w:val="zh-CN"/>
        </w:rPr>
        <w:t>年初预算数为</w:t>
      </w:r>
      <w:r>
        <w:rPr>
          <w:rFonts w:hint="eastAsia" w:ascii="仿宋_GB2312" w:hAnsi="仿宋_GB2312" w:eastAsia="仿宋_GB2312" w:cs="仿宋_GB2312"/>
          <w:sz w:val="32"/>
          <w:szCs w:val="32"/>
          <w:highlight w:val="yellow"/>
        </w:rPr>
        <w:t>1327</w:t>
      </w:r>
      <w:r>
        <w:rPr>
          <w:rFonts w:hint="eastAsia" w:ascii="仿宋_GB2312" w:hAnsi="仿宋_GB2312" w:eastAsia="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358102</w:t>
      </w:r>
      <w:r>
        <w:rPr>
          <w:rFonts w:hint="eastAsia" w:ascii="仿宋_GB2312" w:hAnsi="仿宋_GB2312" w:eastAsia="仿宋_GB2312" w:cs="仿宋_GB2312"/>
          <w:sz w:val="32"/>
          <w:szCs w:val="32"/>
          <w:highlight w:val="yellow"/>
          <w:lang w:val="zh-CN"/>
        </w:rPr>
        <w:t>万元,支出决算为</w:t>
      </w:r>
      <w:r>
        <w:rPr>
          <w:rFonts w:hint="eastAsia" w:ascii="仿宋_GB2312" w:hAnsi="仿宋_GB2312" w:eastAsia="仿宋_GB2312" w:cs="仿宋_GB2312"/>
          <w:sz w:val="32"/>
          <w:szCs w:val="32"/>
          <w:highlight w:val="yellow"/>
        </w:rPr>
        <w:t>1327</w:t>
      </w:r>
      <w:r>
        <w:rPr>
          <w:rFonts w:hint="eastAsia" w:ascii="仿宋_GB2312" w:hAnsi="仿宋_GB2312" w:eastAsia="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358102</w:t>
      </w:r>
      <w:r>
        <w:rPr>
          <w:rFonts w:hint="eastAsia" w:ascii="仿宋_GB2312" w:hAnsi="仿宋_GB2312" w:eastAsia="仿宋_GB2312" w:cs="仿宋_GB2312"/>
          <w:sz w:val="32"/>
          <w:szCs w:val="32"/>
          <w:highlight w:val="yellow"/>
          <w:lang w:val="zh-CN"/>
        </w:rPr>
        <w:t>万元,完成年初预算的</w:t>
      </w:r>
      <w:r>
        <w:rPr>
          <w:rFonts w:hint="eastAsia" w:ascii="仿宋_GB2312" w:hAnsi="仿宋_GB2312" w:eastAsia="仿宋_GB2312" w:cs="仿宋_GB2312"/>
          <w:sz w:val="32"/>
          <w:szCs w:val="32"/>
          <w:highlight w:val="yellow"/>
          <w:lang w:val="en-US" w:eastAsia="zh-CN"/>
        </w:rPr>
        <w:t>100</w:t>
      </w:r>
      <w:r>
        <w:rPr>
          <w:rFonts w:hint="eastAsia" w:ascii="仿宋_GB2312" w:hAnsi="仿宋_GB2312" w:eastAsia="仿宋_GB2312" w:cs="仿宋_GB2312"/>
          <w:sz w:val="32"/>
          <w:szCs w:val="32"/>
          <w:highlight w:val="yellow"/>
          <w:lang w:val="zh-CN"/>
        </w:rPr>
        <w:t>%</w:t>
      </w:r>
      <w:r>
        <w:rPr>
          <w:rFonts w:hint="eastAsia" w:ascii="仿宋_GB2312" w:hAnsi="仿宋_GB2312" w:eastAsia="仿宋_GB2312" w:cs="仿宋_GB2312"/>
          <w:color w:val="FF0000"/>
          <w:sz w:val="32"/>
          <w:szCs w:val="32"/>
          <w:highlight w:val="yellow"/>
          <w:lang w:val="zh-CN"/>
        </w:rPr>
        <w:t xml:space="preserve"> 。</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747328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831552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未能按时上缴完成9-12月养老保险。</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340774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340774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5.农林水支出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4515</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4515</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1511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438528</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1369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527602</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rPr>
        <w:t>170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84499</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w:t>
      </w:r>
      <w:r>
        <w:rPr>
          <w:rFonts w:hint="eastAsia" w:ascii="仿宋_GB2312" w:hAnsi="仿宋_GB2312" w:eastAsia="仿宋_GB2312" w:cs="仿宋_GB2312"/>
          <w:color w:val="FF0000"/>
          <w:sz w:val="32"/>
          <w:szCs w:val="32"/>
          <w:lang w:val="en-US" w:eastAsia="zh-CN"/>
        </w:rPr>
        <w:t>工资福利</w:t>
      </w:r>
      <w:r>
        <w:rPr>
          <w:rFonts w:hint="eastAsia" w:ascii="仿宋_GB2312" w:hAnsi="仿宋_GB2312" w:eastAsia="仿宋_GB2312" w:cs="仿宋_GB2312"/>
          <w:color w:val="FF0000"/>
          <w:sz w:val="32"/>
          <w:szCs w:val="32"/>
          <w:lang w:val="zh-CN"/>
        </w:rPr>
        <w:t>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主要包括基本工资516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4314万元，津贴补贴227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5504万元，奖金35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1924万元，社会保障缴费（养老保险）63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831552万元，医疗补助缴费40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573974万元，</w:t>
      </w:r>
      <w:r>
        <w:rPr>
          <w:rFonts w:hint="eastAsia" w:ascii="仿宋_GB2312" w:hAnsi="仿宋_GB2312" w:eastAsia="仿宋_GB2312" w:cs="仿宋_GB2312"/>
          <w:color w:val="FF0000"/>
          <w:sz w:val="32"/>
          <w:szCs w:val="32"/>
          <w:lang w:val="en-US" w:eastAsia="zh-CN"/>
        </w:rPr>
        <w:t>其他社会保险缴费0.</w:t>
      </w:r>
      <w:r>
        <w:rPr>
          <w:rFonts w:hint="eastAsia" w:ascii="仿宋_GB2312" w:hAnsi="仿宋_GB2312" w:eastAsia="仿宋_GB2312" w:cs="仿宋_GB2312"/>
          <w:color w:val="FF0000"/>
          <w:sz w:val="32"/>
          <w:szCs w:val="32"/>
          <w:lang w:val="zh-CN"/>
        </w:rPr>
        <w:t>7668万元，住房公积金缴费75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4515万元，其他工资福利支出47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1032</w:t>
      </w:r>
      <w:r>
        <w:rPr>
          <w:rFonts w:hint="eastAsia" w:ascii="仿宋_GB2312" w:hAnsi="仿宋_GB2312" w:eastAsia="仿宋_GB2312" w:cs="仿宋_GB2312"/>
          <w:color w:val="FF0000"/>
          <w:sz w:val="32"/>
          <w:szCs w:val="32"/>
          <w:lang w:val="en-US" w:eastAsia="zh-CN"/>
        </w:rPr>
        <w:t>万元，</w:t>
      </w:r>
      <w:r>
        <w:rPr>
          <w:rFonts w:hint="eastAsia" w:ascii="仿宋_GB2312" w:hAnsi="仿宋_GB2312" w:eastAsia="仿宋_GB2312" w:cs="仿宋_GB2312"/>
          <w:color w:val="FF0000"/>
          <w:sz w:val="32"/>
          <w:szCs w:val="32"/>
          <w:lang w:val="zh-CN"/>
        </w:rPr>
        <w:t>对个人和家庭的补助362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626376万元，生活补助216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905176</w:t>
      </w:r>
      <w:r>
        <w:rPr>
          <w:rFonts w:hint="eastAsia" w:ascii="仿宋_GB2312" w:hAnsi="仿宋_GB2312" w:eastAsia="仿宋_GB2312" w:cs="仿宋_GB2312"/>
          <w:color w:val="FF0000"/>
          <w:sz w:val="32"/>
          <w:szCs w:val="32"/>
          <w:lang w:val="en-US" w:eastAsia="zh-CN"/>
        </w:rPr>
        <w:t>万元，奖励金145.7212万元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公用经费141</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910926</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zh-CN"/>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756401万元,</w:t>
      </w:r>
      <w:r>
        <w:rPr>
          <w:rFonts w:hint="eastAsia" w:ascii="仿宋_GB2312" w:hAnsi="仿宋_GB2312" w:eastAsia="仿宋_GB2312" w:cs="仿宋_GB2312"/>
          <w:sz w:val="32"/>
          <w:szCs w:val="32"/>
          <w:lang w:val="en-US" w:eastAsia="zh-CN"/>
        </w:rPr>
        <w:t>减少10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易地搬迁学生减少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4520万元，办公费68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890716万元，印刷费10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067555万元，</w:t>
      </w:r>
      <w:r>
        <w:rPr>
          <w:rFonts w:hint="eastAsia" w:ascii="仿宋_GB2312" w:hAnsi="仿宋_GB2312" w:eastAsia="仿宋_GB2312" w:cs="仿宋_GB2312"/>
          <w:color w:val="FF0000"/>
          <w:sz w:val="32"/>
          <w:szCs w:val="32"/>
          <w:lang w:val="en-US" w:eastAsia="zh-CN"/>
        </w:rPr>
        <w:t>手续费0.002475万元，</w:t>
      </w:r>
      <w:r>
        <w:rPr>
          <w:rFonts w:hint="eastAsia" w:ascii="仿宋_GB2312" w:hAnsi="仿宋_GB2312" w:eastAsia="仿宋_GB2312" w:cs="仿宋_GB2312"/>
          <w:color w:val="FF0000"/>
          <w:sz w:val="32"/>
          <w:szCs w:val="32"/>
          <w:lang w:val="zh-CN"/>
        </w:rPr>
        <w:t>电费4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547268万元、邮电费2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80982万元，  取暖费</w:t>
      </w:r>
      <w:r>
        <w:rPr>
          <w:rFonts w:hint="eastAsia" w:ascii="仿宋_GB2312" w:hAnsi="仿宋_GB2312" w:eastAsia="仿宋_GB2312" w:cs="仿宋_GB2312"/>
          <w:color w:val="FF0000"/>
          <w:sz w:val="32"/>
          <w:szCs w:val="32"/>
          <w:lang w:val="zh-CN"/>
        </w:rPr>
        <w:tab/>
      </w:r>
      <w:r>
        <w:rPr>
          <w:rFonts w:hint="eastAsia" w:ascii="仿宋_GB2312" w:hAnsi="仿宋_GB2312" w:eastAsia="仿宋_GB2312" w:cs="仿宋_GB2312"/>
          <w:color w:val="FF0000"/>
          <w:sz w:val="32"/>
          <w:szCs w:val="32"/>
          <w:lang w:val="zh-CN"/>
        </w:rPr>
        <w:t>21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348242</w:t>
      </w:r>
      <w:r>
        <w:rPr>
          <w:rFonts w:hint="eastAsia" w:ascii="仿宋_GB2312" w:hAnsi="仿宋_GB2312" w:eastAsia="仿宋_GB2312" w:cs="仿宋_GB2312"/>
          <w:color w:val="FF0000"/>
          <w:sz w:val="32"/>
          <w:szCs w:val="32"/>
          <w:lang w:val="en-US" w:eastAsia="zh-CN"/>
        </w:rPr>
        <w:t>万元，  维修（护）费</w:t>
      </w:r>
      <w:r>
        <w:rPr>
          <w:rFonts w:hint="eastAsia" w:ascii="仿宋_GB2312" w:hAnsi="仿宋_GB2312" w:eastAsia="仿宋_GB2312" w:cs="仿宋_GB2312"/>
          <w:color w:val="FF0000"/>
          <w:sz w:val="32"/>
          <w:szCs w:val="32"/>
          <w:lang w:val="en-US" w:eastAsia="zh-CN"/>
        </w:rPr>
        <w:tab/>
      </w:r>
      <w:r>
        <w:rPr>
          <w:rFonts w:hint="eastAsia" w:ascii="仿宋_GB2312" w:hAnsi="仿宋_GB2312" w:eastAsia="仿宋_GB2312" w:cs="仿宋_GB2312"/>
          <w:color w:val="FF0000"/>
          <w:sz w:val="32"/>
          <w:szCs w:val="32"/>
          <w:lang w:val="en-US" w:eastAsia="zh-CN"/>
        </w:rPr>
        <w:t>4.9397万元，</w:t>
      </w:r>
      <w:r>
        <w:rPr>
          <w:rFonts w:hint="eastAsia" w:ascii="仿宋_GB2312" w:hAnsi="仿宋_GB2312" w:eastAsia="仿宋_GB2312" w:cs="仿宋_GB2312"/>
          <w:color w:val="FF0000"/>
          <w:sz w:val="32"/>
          <w:szCs w:val="32"/>
          <w:lang w:val="zh-CN"/>
        </w:rPr>
        <w:t>差旅费3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7800万元，专用燃料费</w:t>
      </w:r>
      <w:r>
        <w:rPr>
          <w:rFonts w:hint="eastAsia" w:ascii="仿宋_GB2312" w:hAnsi="仿宋_GB2312" w:eastAsia="仿宋_GB2312" w:cs="仿宋_GB2312"/>
          <w:color w:val="FF0000"/>
          <w:sz w:val="32"/>
          <w:szCs w:val="32"/>
          <w:lang w:val="zh-CN"/>
        </w:rPr>
        <w:tab/>
      </w:r>
      <w:r>
        <w:rPr>
          <w:rFonts w:hint="eastAsia" w:ascii="仿宋_GB2312" w:hAnsi="仿宋_GB2312" w:eastAsia="仿宋_GB2312" w:cs="仿宋_GB2312"/>
          <w:color w:val="FF0000"/>
          <w:sz w:val="32"/>
          <w:szCs w:val="32"/>
          <w:lang w:val="zh-CN"/>
        </w:rPr>
        <w:t>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173350</w:t>
      </w:r>
      <w:r>
        <w:rPr>
          <w:rFonts w:hint="eastAsia" w:ascii="仿宋_GB2312" w:hAnsi="仿宋_GB2312" w:eastAsia="仿宋_GB2312" w:cs="仿宋_GB2312"/>
          <w:color w:val="FF0000"/>
          <w:sz w:val="32"/>
          <w:szCs w:val="32"/>
          <w:lang w:val="en-US" w:eastAsia="zh-CN"/>
        </w:rPr>
        <w:t>万元，劳务费</w:t>
      </w:r>
      <w:r>
        <w:rPr>
          <w:rFonts w:hint="eastAsia" w:ascii="仿宋_GB2312" w:hAnsi="仿宋_GB2312" w:eastAsia="仿宋_GB2312" w:cs="仿宋_GB2312"/>
          <w:color w:val="FF0000"/>
          <w:sz w:val="32"/>
          <w:szCs w:val="32"/>
          <w:lang w:val="en-US" w:eastAsia="zh-CN"/>
        </w:rPr>
        <w:tab/>
      </w:r>
      <w:r>
        <w:rPr>
          <w:rFonts w:hint="eastAsia" w:ascii="仿宋_GB2312" w:hAnsi="仿宋_GB2312" w:eastAsia="仿宋_GB2312" w:cs="仿宋_GB2312"/>
          <w:color w:val="FF0000"/>
          <w:sz w:val="32"/>
          <w:szCs w:val="32"/>
          <w:lang w:val="en-US" w:eastAsia="zh-CN"/>
        </w:rPr>
        <w:t>10.8492万元，</w:t>
      </w:r>
      <w:r>
        <w:rPr>
          <w:rFonts w:hint="eastAsia" w:ascii="仿宋_GB2312" w:hAnsi="仿宋_GB2312" w:eastAsia="仿宋_GB2312" w:cs="仿宋_GB2312"/>
          <w:color w:val="FF0000"/>
          <w:sz w:val="32"/>
          <w:szCs w:val="32"/>
          <w:lang w:val="zh-CN"/>
        </w:rPr>
        <w:t>其他商品和服务支出5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0506万元。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w:t>
      </w:r>
      <w:r>
        <w:rPr>
          <w:rFonts w:hint="eastAsia" w:ascii="仿宋_GB2312" w:hAnsi="仿宋_GB2312" w:eastAsia="仿宋_GB2312" w:cs="仿宋_GB2312"/>
          <w:sz w:val="32"/>
          <w:szCs w:val="32"/>
          <w:lang w:val="en-US" w:eastAsia="zh-CN"/>
        </w:rPr>
        <w:t>收入1.5万元，</w:t>
      </w:r>
      <w:r>
        <w:rPr>
          <w:rFonts w:hint="eastAsia" w:ascii="仿宋_GB2312" w:hAnsi="仿宋_GB2312" w:eastAsia="仿宋_GB2312" w:cs="仿宋_GB2312"/>
          <w:sz w:val="32"/>
          <w:szCs w:val="32"/>
        </w:rPr>
        <w:t>年初结转结余0万元，本年收入</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w:t>
      </w:r>
      <w:r>
        <w:rPr>
          <w:rFonts w:hint="eastAsia" w:ascii="仿宋_GB2312" w:hAnsi="仿宋_GB2312" w:eastAsia="仿宋_GB2312" w:cs="仿宋_GB2312"/>
          <w:sz w:val="32"/>
          <w:szCs w:val="32"/>
          <w:lang w:val="en-US" w:eastAsia="zh-CN"/>
        </w:rPr>
        <w:t>大树学校</w:t>
      </w:r>
      <w:r>
        <w:rPr>
          <w:rFonts w:hint="eastAsia" w:ascii="仿宋_GB2312" w:hAnsi="仿宋_GB2312" w:eastAsia="仿宋_GB2312" w:cs="仿宋_GB2312"/>
          <w:sz w:val="32"/>
          <w:szCs w:val="32"/>
          <w:lang w:val="zh-CN"/>
        </w:rPr>
        <w:t>（决算2023-9-</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w:t>
      </w:r>
    </w:p>
    <w:p>
      <w:pPr>
        <w:rPr>
          <w:rFonts w:ascii="仿宋_GB2312" w:hAnsi="仿宋_GB2312" w:eastAsia="仿宋_GB2312" w:cs="仿宋_GB2312"/>
          <w:sz w:val="32"/>
          <w:szCs w:val="32"/>
          <w:lang w:val="zh-CN"/>
        </w:rPr>
      </w:pPr>
    </w:p>
    <w:sectPr>
      <w:footerReference r:id="rId3" w:type="default"/>
      <w:pgSz w:w="16838" w:h="11906" w:orient="landscape"/>
      <w:pgMar w:top="1134" w:right="1440" w:bottom="1134" w:left="1440"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MjJiYThiZGJhODI2YTU0NjNlMzE4ZmUzN2M1NWUifQ=="/>
  </w:docVars>
  <w:rsids>
    <w:rsidRoot w:val="00172A27"/>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3BD75170"/>
    <w:rsid w:val="426533DB"/>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47</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csz</cp:lastModifiedBy>
  <cp:lastPrinted>2023-08-18T07:47:00Z</cp:lastPrinted>
  <dcterms:modified xsi:type="dcterms:W3CDTF">2023-09-21T02:32:49Z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19B29CBFE88A403AB6F7E20262D52DAA_13</vt:lpwstr>
  </property>
</Properties>
</file>