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5"/>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1"/>
      <w:bookmarkStart w:id="2" w:name="bookmark2"/>
      <w:r>
        <w:rPr>
          <w:rFonts w:hint="eastAsia" w:ascii="方正小标宋_GBK" w:hAnsi="方正小标宋_GBK" w:eastAsia="方正小标宋_GBK" w:cs="方正小标宋_GBK"/>
          <w:sz w:val="40"/>
          <w:szCs w:val="40"/>
          <w:lang w:val="en-US" w:eastAsia="en-US"/>
        </w:rPr>
        <w:t>***</w:t>
      </w:r>
      <w:r>
        <w:rPr>
          <w:rFonts w:hint="eastAsia" w:ascii="方正小标宋_GBK" w:hAnsi="方正小标宋_GBK" w:eastAsia="方正小标宋_GBK" w:cs="方正小标宋_GBK"/>
          <w:sz w:val="40"/>
          <w:szCs w:val="40"/>
        </w:rPr>
        <w:t>部门（</w:t>
      </w:r>
      <w:r>
        <w:rPr>
          <w:rFonts w:hint="eastAsia" w:ascii="方正小标宋_GBK" w:hAnsi="方正小标宋_GBK" w:eastAsia="方正小标宋_GBK" w:cs="方正小标宋_GBK"/>
          <w:sz w:val="40"/>
          <w:szCs w:val="40"/>
          <w:lang w:eastAsia="zh-CN"/>
        </w:rPr>
        <w:t>本</w:t>
      </w:r>
      <w:r>
        <w:rPr>
          <w:rFonts w:hint="eastAsia" w:ascii="方正小标宋_GBK" w:hAnsi="方正小标宋_GBK" w:eastAsia="方正小标宋_GBK" w:cs="方正小标宋_GBK"/>
          <w:sz w:val="40"/>
          <w:szCs w:val="40"/>
        </w:rPr>
        <w:t>单位）202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5"/>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5"/>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spacing w:line="600" w:lineRule="exact"/>
        <w:ind w:firstLine="640" w:firstLineChars="200"/>
        <w:rPr>
          <w:rFonts w:hint="eastAsia" w:ascii="仿宋_GB2312" w:hAnsi="黑体" w:eastAsia="仿宋_GB2312"/>
          <w:sz w:val="32"/>
          <w:szCs w:val="32"/>
        </w:rPr>
      </w:pPr>
      <w:bookmarkStart w:id="16" w:name="bookmark24"/>
      <w:r>
        <w:rPr>
          <w:rFonts w:hint="eastAsia" w:ascii="仿宋_GB2312" w:eastAsia="仿宋_GB2312"/>
          <w:sz w:val="32"/>
        </w:rPr>
        <w:t>主要职责是：</w:t>
      </w:r>
      <w:r>
        <w:rPr>
          <w:rFonts w:hint="eastAsia" w:ascii="仿宋_GB2312" w:hAnsi="仿宋_GB2312" w:eastAsia="仿宋_GB2312" w:cs="仿宋_GB2312"/>
          <w:sz w:val="32"/>
        </w:rPr>
        <w:t>（一）贯彻执行国家、省、州、县有关住房和城乡建设行政管理的法律、法规和方针、政策，负责拟定全县基本建设、工程建设、城市建设、村镇建设、保障性住房建设、建筑业、住宅房地产业、市政公用事业的政策以及建设科技、技术经济等相关的发展战略、中长期规划、改革方案、产业政策并指导实施，研究提出全县住房和城乡建设重大问题的建议，负责住房和城乡建设行业管理。（二）承担保障城镇低收入家庭住房的责任。（三）承担建立工程建设标准体系的责任。（四）负责拟定全县城市建设的政策和制度并监督实施。（五）承担规范村镇建设，指导全县村镇建设的责任。（六）监督管理建筑市场、规范市场各方主体行为。（七）承担建筑工程质量安全监管的责任。（八）承担规范房地产市场秩序、监督管理房地产市场的责任。（九）承担推进住房制度改革的责任。（十）承担推进建筑节能的责任。（十一）监督国家和省上有关抗震设施法律、法规的执行。（十二）编制和组织实施行业重点科技发展项目计划。（十三）负责拟定全县城市建设的政策和制度并监督实施。（十四）负责行政执法监督以及建设工程项目执法稽查工作。（十五）承担县政府投资项目代建管理工作。（十六）总投资200万元以下建设项目的施工许可及工程质量监督书的核发。（十七）对城市燃气企业核发燃气经营许可证、燃气设施的改动审批。（十八）承办县委、县政府、州住房和城乡建设局交办的其他事项。</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3"/>
        <w:numPr>
          <w:ilvl w:val="0"/>
          <w:numId w:val="0"/>
        </w:numPr>
        <w:ind w:firstLine="640" w:firstLineChars="200"/>
        <w:rPr>
          <w:rFonts w:hint="eastAsia" w:ascii="仿宋_GB2312" w:hAnsi="仿宋_GB2312" w:eastAsia="仿宋_GB2312" w:cs="仿宋_GB2312"/>
          <w:color w:val="000000"/>
          <w:spacing w:val="0"/>
          <w:w w:val="100"/>
          <w:position w:val="0"/>
          <w:sz w:val="32"/>
          <w:szCs w:val="24"/>
          <w:shd w:val="clear" w:color="auto" w:fill="auto"/>
          <w:lang w:val="en-US" w:eastAsia="en-US" w:bidi="en-US"/>
        </w:rPr>
      </w:pPr>
      <w:r>
        <w:rPr>
          <w:rFonts w:hint="eastAsia" w:ascii="仿宋_GB2312" w:hAnsi="仿宋_GB2312" w:eastAsia="仿宋_GB2312" w:cs="仿宋_GB2312"/>
          <w:color w:val="000000"/>
          <w:spacing w:val="0"/>
          <w:w w:val="100"/>
          <w:position w:val="0"/>
          <w:sz w:val="32"/>
          <w:szCs w:val="24"/>
          <w:shd w:val="clear" w:color="auto" w:fill="auto"/>
          <w:lang w:val="en-US" w:eastAsia="en-US" w:bidi="en-US"/>
        </w:rPr>
        <w:t>东乡县</w:t>
      </w:r>
      <w:r>
        <w:rPr>
          <w:rFonts w:hint="eastAsia" w:ascii="仿宋_GB2312" w:hAnsi="仿宋_GB2312" w:eastAsia="仿宋_GB2312" w:cs="仿宋_GB2312"/>
          <w:color w:val="000000"/>
          <w:spacing w:val="0"/>
          <w:w w:val="100"/>
          <w:position w:val="0"/>
          <w:sz w:val="32"/>
          <w:szCs w:val="24"/>
          <w:shd w:val="clear" w:color="auto" w:fill="auto"/>
          <w:lang w:val="en-US" w:eastAsia="zh-CN" w:bidi="en-US"/>
        </w:rPr>
        <w:t>住建</w:t>
      </w:r>
      <w:r>
        <w:rPr>
          <w:rFonts w:hint="eastAsia" w:ascii="仿宋_GB2312" w:hAnsi="仿宋_GB2312" w:eastAsia="仿宋_GB2312" w:cs="仿宋_GB2312"/>
          <w:color w:val="000000"/>
          <w:spacing w:val="0"/>
          <w:w w:val="100"/>
          <w:position w:val="0"/>
          <w:sz w:val="32"/>
          <w:szCs w:val="24"/>
          <w:shd w:val="clear" w:color="auto" w:fill="auto"/>
          <w:lang w:val="en-US" w:eastAsia="en-US" w:bidi="en-US"/>
        </w:rPr>
        <w:t>局内设及归口管理机构有括办公室、住房保障股、城乡建设管理股、房地产市场管理股、房产股、物业管理股等6个职能股室。</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5"/>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2021年度收入总计1715451335.67元，支出总计1715451335.67元，与2020年决算数相比，收入增加822311209.1元，增长92.06%，支出增加822311209.1元，增长92.06%。主要原因是</w:t>
      </w:r>
      <w:r>
        <w:rPr>
          <w:rFonts w:hint="eastAsia" w:ascii="仿宋_GB2312" w:eastAsia="仿宋_GB2312"/>
          <w:sz w:val="30"/>
          <w:szCs w:val="30"/>
        </w:rPr>
        <w:t>主要原因是</w:t>
      </w:r>
      <w:r>
        <w:rPr>
          <w:rFonts w:hint="eastAsia" w:ascii="仿宋_GB2312" w:hAnsi="黑体" w:eastAsia="仿宋_GB2312"/>
          <w:b w:val="0"/>
          <w:bCs w:val="0"/>
          <w:sz w:val="32"/>
          <w:szCs w:val="32"/>
          <w:lang w:val="en-US" w:eastAsia="zh-CN"/>
        </w:rPr>
        <w:t>棚户区改造项目补助资金增加。</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bidi="en-US"/>
        </w:rPr>
        <w:t>1710858585.7</w:t>
      </w:r>
      <w:r>
        <w:rPr>
          <w:rFonts w:hint="eastAsia" w:ascii="仿宋_GB2312" w:hAnsi="仿宋_GB2312" w:eastAsia="仿宋_GB2312" w:cs="仿宋_GB2312"/>
          <w:color w:val="000000"/>
          <w:spacing w:val="0"/>
          <w:w w:val="100"/>
          <w:position w:val="0"/>
          <w:sz w:val="32"/>
          <w:szCs w:val="32"/>
        </w:rPr>
        <w:t>元，其中：财政拨款收入1580385586</w:t>
      </w:r>
      <w:r>
        <w:rPr>
          <w:rFonts w:hint="eastAsia" w:ascii="仿宋_GB2312" w:hAnsi="仿宋_GB2312" w:eastAsia="仿宋_GB2312" w:cs="仿宋_GB2312"/>
          <w:color w:val="000000"/>
          <w:spacing w:val="0"/>
          <w:w w:val="100"/>
          <w:position w:val="0"/>
          <w:sz w:val="32"/>
          <w:szCs w:val="32"/>
          <w:lang w:val="en-US" w:eastAsia="zh-CN"/>
        </w:rPr>
        <w:t>.7</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92.37</w:t>
      </w:r>
      <w:r>
        <w:rPr>
          <w:rFonts w:hint="eastAsia" w:ascii="仿宋_GB2312" w:hAnsi="仿宋_GB2312" w:eastAsia="仿宋_GB2312" w:cs="仿宋_GB2312"/>
          <w:color w:val="000000"/>
          <w:spacing w:val="0"/>
          <w:w w:val="100"/>
          <w:position w:val="0"/>
          <w:sz w:val="32"/>
          <w:szCs w:val="32"/>
        </w:rPr>
        <w:t>%;；其他收入130473000元，占</w:t>
      </w:r>
      <w:r>
        <w:rPr>
          <w:rFonts w:hint="eastAsia" w:ascii="仿宋_GB2312" w:hAnsi="仿宋_GB2312" w:eastAsia="仿宋_GB2312" w:cs="仿宋_GB2312"/>
          <w:color w:val="000000"/>
          <w:spacing w:val="0"/>
          <w:w w:val="100"/>
          <w:position w:val="0"/>
          <w:sz w:val="32"/>
          <w:szCs w:val="32"/>
          <w:lang w:val="en-US" w:eastAsia="zh-CN"/>
        </w:rPr>
        <w:t>7.63</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年度支出合计1712413161.7元，其中：基本支出</w:t>
      </w:r>
      <w:r>
        <w:rPr>
          <w:rFonts w:hint="eastAsia" w:ascii="仿宋_GB2312" w:hAnsi="仿宋_GB2312" w:eastAsia="仿宋_GB2312" w:cs="仿宋_GB2312"/>
          <w:color w:val="000000"/>
          <w:spacing w:val="0"/>
          <w:w w:val="100"/>
          <w:position w:val="0"/>
          <w:sz w:val="32"/>
          <w:szCs w:val="32"/>
          <w:lang w:val="en-US" w:eastAsia="en-US" w:bidi="en-US"/>
        </w:rPr>
        <w:t>21624407.84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1.3</w:t>
      </w:r>
      <w:r>
        <w:rPr>
          <w:rFonts w:hint="eastAsia" w:ascii="仿宋_GB2312" w:hAnsi="仿宋_GB2312" w:eastAsia="仿宋_GB2312" w:cs="仿宋_GB2312"/>
          <w:color w:val="000000"/>
          <w:spacing w:val="0"/>
          <w:w w:val="100"/>
          <w:position w:val="0"/>
          <w:sz w:val="32"/>
          <w:szCs w:val="32"/>
        </w:rPr>
        <w:t>%；项目支出1690788753.86元，占</w:t>
      </w:r>
      <w:r>
        <w:rPr>
          <w:rFonts w:hint="eastAsia" w:ascii="仿宋_GB2312" w:hAnsi="仿宋_GB2312" w:eastAsia="仿宋_GB2312" w:cs="仿宋_GB2312"/>
          <w:color w:val="000000"/>
          <w:spacing w:val="0"/>
          <w:w w:val="100"/>
          <w:position w:val="0"/>
          <w:sz w:val="32"/>
          <w:szCs w:val="32"/>
          <w:lang w:val="en-US" w:eastAsia="zh-CN"/>
        </w:rPr>
        <w:t>98.7</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5"/>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158038558</w:t>
      </w:r>
      <w:r>
        <w:rPr>
          <w:rFonts w:hint="eastAsia" w:ascii="仿宋_GB2312" w:hAnsi="仿宋_GB2312" w:eastAsia="仿宋_GB2312" w:cs="仿宋_GB2312"/>
          <w:color w:val="000000"/>
          <w:spacing w:val="0"/>
          <w:w w:val="100"/>
          <w:position w:val="0"/>
          <w:sz w:val="32"/>
          <w:szCs w:val="32"/>
          <w:lang w:val="en-US" w:eastAsia="zh-CN" w:bidi="en-US"/>
        </w:rPr>
        <w:t>5.7</w:t>
      </w:r>
      <w:r>
        <w:rPr>
          <w:rFonts w:hint="eastAsia" w:ascii="仿宋_GB2312" w:hAnsi="仿宋_GB2312" w:eastAsia="仿宋_GB2312" w:cs="仿宋_GB2312"/>
          <w:color w:val="000000"/>
          <w:spacing w:val="0"/>
          <w:w w:val="100"/>
          <w:position w:val="0"/>
          <w:sz w:val="32"/>
          <w:szCs w:val="32"/>
        </w:rPr>
        <w:t>元，较上年决算数增加786955611.6元，增长</w:t>
      </w:r>
      <w:r>
        <w:rPr>
          <w:rFonts w:hint="eastAsia" w:ascii="仿宋_GB2312" w:hAnsi="仿宋_GB2312" w:eastAsia="仿宋_GB2312" w:cs="仿宋_GB2312"/>
          <w:color w:val="000000"/>
          <w:spacing w:val="0"/>
          <w:w w:val="100"/>
          <w:position w:val="0"/>
          <w:sz w:val="32"/>
          <w:szCs w:val="32"/>
          <w:lang w:val="en-US" w:eastAsia="zh-CN"/>
        </w:rPr>
        <w:t>99</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黑体" w:eastAsia="仿宋_GB2312"/>
          <w:b w:val="0"/>
          <w:bCs w:val="0"/>
          <w:sz w:val="32"/>
          <w:szCs w:val="32"/>
          <w:lang w:val="en-US" w:eastAsia="zh-CN"/>
        </w:rPr>
        <w:t>棚户区改造项目补助资金增加</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1513962204</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95.8</w:t>
      </w:r>
      <w:r>
        <w:rPr>
          <w:rFonts w:hint="eastAsia" w:ascii="仿宋_GB2312" w:hAnsi="仿宋_GB2312" w:eastAsia="仿宋_GB2312" w:cs="仿宋_GB2312"/>
          <w:color w:val="000000"/>
          <w:spacing w:val="0"/>
          <w:w w:val="100"/>
          <w:position w:val="0"/>
          <w:sz w:val="32"/>
          <w:szCs w:val="32"/>
        </w:rPr>
        <w:t>%。主要原因是年中追加安排基础设施建设支出预算）。</w:t>
      </w:r>
    </w:p>
    <w:p>
      <w:pPr>
        <w:pStyle w:val="15"/>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年度财政拨款支出1581351496.7元，较上年决算数增加</w:t>
      </w:r>
      <w:r>
        <w:rPr>
          <w:rFonts w:hint="eastAsia" w:ascii="仿宋_GB2312" w:hAnsi="仿宋_GB2312" w:eastAsia="仿宋_GB2312" w:cs="仿宋_GB2312"/>
          <w:color w:val="000000"/>
          <w:spacing w:val="0"/>
          <w:w w:val="100"/>
          <w:position w:val="0"/>
          <w:sz w:val="32"/>
          <w:szCs w:val="32"/>
          <w:lang w:val="en-US" w:eastAsia="en-US" w:bidi="en-US"/>
        </w:rPr>
        <w:t>770771458.1</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95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黑体" w:eastAsia="仿宋_GB2312"/>
          <w:b w:val="0"/>
          <w:bCs w:val="0"/>
          <w:sz w:val="32"/>
          <w:szCs w:val="32"/>
          <w:lang w:val="en-US" w:eastAsia="zh-CN"/>
        </w:rPr>
        <w:t>棚户区改造项目补助资金增加</w:t>
      </w:r>
      <w:r>
        <w:rPr>
          <w:rFonts w:hint="eastAsia" w:ascii="仿宋_GB2312" w:hAnsi="仿宋_GB2312" w:eastAsia="仿宋_GB2312" w:cs="仿宋_GB2312"/>
          <w:color w:val="000000"/>
          <w:spacing w:val="0"/>
          <w:w w:val="100"/>
          <w:position w:val="0"/>
          <w:sz w:val="32"/>
          <w:szCs w:val="32"/>
        </w:rPr>
        <w:t>。较年初预算数增加1514928115元。主要原因是</w:t>
      </w:r>
      <w:r>
        <w:rPr>
          <w:rFonts w:hint="eastAsia" w:ascii="仿宋_GB2312" w:hAnsi="黑体" w:eastAsia="仿宋_GB2312"/>
          <w:b w:val="0"/>
          <w:bCs w:val="0"/>
          <w:sz w:val="32"/>
          <w:szCs w:val="32"/>
          <w:lang w:val="en-US" w:eastAsia="zh-CN"/>
        </w:rPr>
        <w:t>棚户区改造项目补助资金增加。</w:t>
      </w: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5"/>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186196028.69元，占本年支出的10.85%，</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上年决算数减少364874981.7元，降低</w:t>
      </w:r>
      <w:r>
        <w:rPr>
          <w:rFonts w:hint="eastAsia" w:ascii="仿宋_GB2312" w:hAnsi="仿宋_GB2312" w:eastAsia="仿宋_GB2312" w:cs="仿宋_GB2312"/>
          <w:color w:val="000000"/>
          <w:spacing w:val="0"/>
          <w:w w:val="100"/>
          <w:position w:val="0"/>
          <w:sz w:val="32"/>
          <w:szCs w:val="32"/>
          <w:lang w:val="en-US" w:eastAsia="zh-CN"/>
        </w:rPr>
        <w:t>66.21</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2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en-US" w:bidi="en-US"/>
        </w:rPr>
        <w:t>919076.88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0.49</w:t>
      </w:r>
      <w:r>
        <w:rPr>
          <w:rFonts w:hint="eastAsia" w:ascii="仿宋_GB2312" w:hAnsi="仿宋_GB2312" w:eastAsia="仿宋_GB2312" w:cs="仿宋_GB2312"/>
          <w:color w:val="000000"/>
          <w:spacing w:val="0"/>
          <w:w w:val="100"/>
          <w:position w:val="0"/>
          <w:sz w:val="32"/>
          <w:szCs w:val="32"/>
        </w:rPr>
        <w:t>%,较年初预算数增加8840.88元，主要原因是</w:t>
      </w:r>
      <w:r>
        <w:rPr>
          <w:rFonts w:hint="eastAsia" w:ascii="仿宋_GB2312" w:hAnsi="仿宋_GB2312" w:eastAsia="仿宋_GB2312" w:cs="仿宋_GB2312"/>
          <w:color w:val="000000"/>
          <w:spacing w:val="0"/>
          <w:w w:val="100"/>
          <w:position w:val="0"/>
          <w:sz w:val="32"/>
          <w:szCs w:val="32"/>
          <w:lang w:val="en-US" w:eastAsia="zh-CN"/>
        </w:rPr>
        <w:t>单位人员变动</w:t>
      </w:r>
      <w:r>
        <w:rPr>
          <w:rFonts w:hint="eastAsia" w:ascii="仿宋_GB2312" w:hAnsi="仿宋_GB2312" w:eastAsia="仿宋_GB2312" w:cs="仿宋_GB2312"/>
          <w:color w:val="000000"/>
          <w:spacing w:val="0"/>
          <w:w w:val="100"/>
          <w:position w:val="0"/>
          <w:sz w:val="32"/>
          <w:szCs w:val="32"/>
        </w:rPr>
        <w:t>;</w:t>
      </w:r>
    </w:p>
    <w:p>
      <w:pPr>
        <w:pStyle w:val="2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卫生健康支出383,221.92元，占</w:t>
      </w:r>
      <w:r>
        <w:rPr>
          <w:rFonts w:hint="eastAsia" w:ascii="仿宋_GB2312" w:hAnsi="仿宋_GB2312" w:eastAsia="仿宋_GB2312" w:cs="仿宋_GB2312"/>
          <w:color w:val="000000"/>
          <w:spacing w:val="0"/>
          <w:w w:val="100"/>
          <w:position w:val="0"/>
          <w:sz w:val="32"/>
          <w:szCs w:val="32"/>
          <w:lang w:val="en-US" w:eastAsia="zh-CN"/>
        </w:rPr>
        <w:t>0.21</w:t>
      </w:r>
      <w:r>
        <w:rPr>
          <w:rFonts w:hint="eastAsia" w:ascii="仿宋_GB2312" w:hAnsi="仿宋_GB2312" w:eastAsia="仿宋_GB2312" w:cs="仿宋_GB2312"/>
          <w:color w:val="000000"/>
          <w:spacing w:val="0"/>
          <w:w w:val="100"/>
          <w:position w:val="0"/>
          <w:sz w:val="32"/>
          <w:szCs w:val="32"/>
        </w:rPr>
        <w:t>%,较年初预算数增加383,221.92元，主要原因是</w:t>
      </w:r>
      <w:r>
        <w:rPr>
          <w:rFonts w:hint="eastAsia" w:ascii="仿宋_GB2312" w:eastAsia="仿宋_GB2312"/>
          <w:color w:val="000000" w:themeColor="text1"/>
          <w:sz w:val="30"/>
          <w:szCs w:val="30"/>
          <w14:textFill>
            <w14:solidFill>
              <w14:schemeClr w14:val="tx1"/>
            </w14:solidFill>
          </w14:textFill>
        </w:rPr>
        <w:t>财政对职工基本医疗保险基金的补助</w:t>
      </w:r>
      <w:r>
        <w:rPr>
          <w:rFonts w:hint="eastAsia" w:ascii="仿宋_GB2312" w:hAnsi="仿宋_GB2312" w:eastAsia="仿宋_GB2312" w:cs="仿宋_GB2312"/>
          <w:color w:val="000000"/>
          <w:spacing w:val="0"/>
          <w:w w:val="100"/>
          <w:position w:val="0"/>
          <w:sz w:val="32"/>
          <w:szCs w:val="32"/>
        </w:rPr>
        <w:t>；</w:t>
      </w:r>
    </w:p>
    <w:p>
      <w:pPr>
        <w:pStyle w:val="2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节能环保支出28,166,777.98元，占</w:t>
      </w:r>
      <w:r>
        <w:rPr>
          <w:rFonts w:hint="eastAsia" w:ascii="仿宋_GB2312" w:hAnsi="仿宋_GB2312" w:eastAsia="仿宋_GB2312" w:cs="仿宋_GB2312"/>
          <w:color w:val="000000"/>
          <w:spacing w:val="0"/>
          <w:w w:val="100"/>
          <w:position w:val="0"/>
          <w:sz w:val="32"/>
          <w:szCs w:val="32"/>
          <w:lang w:val="en-US" w:eastAsia="zh-CN"/>
        </w:rPr>
        <w:t>15.13</w:t>
      </w:r>
      <w:r>
        <w:rPr>
          <w:rFonts w:hint="eastAsia" w:ascii="仿宋_GB2312" w:hAnsi="仿宋_GB2312" w:eastAsia="仿宋_GB2312" w:cs="仿宋_GB2312"/>
          <w:color w:val="000000"/>
          <w:spacing w:val="0"/>
          <w:w w:val="100"/>
          <w:position w:val="0"/>
          <w:sz w:val="32"/>
          <w:szCs w:val="32"/>
        </w:rPr>
        <w:t>%,较年初预算数增加26166777.98元，主要原因是</w:t>
      </w:r>
      <w:r>
        <w:rPr>
          <w:rFonts w:hint="eastAsia" w:ascii="仿宋_GB2312" w:hAnsi="仿宋_GB2312" w:eastAsia="仿宋_GB2312" w:cs="仿宋_GB2312"/>
          <w:color w:val="000000"/>
          <w:spacing w:val="0"/>
          <w:w w:val="100"/>
          <w:position w:val="0"/>
          <w:sz w:val="32"/>
          <w:szCs w:val="32"/>
          <w:lang w:val="en-US" w:eastAsia="zh-CN"/>
        </w:rPr>
        <w:t>污水厂运行费</w:t>
      </w:r>
      <w:r>
        <w:rPr>
          <w:rFonts w:hint="eastAsia" w:ascii="仿宋_GB2312" w:hAnsi="仿宋_GB2312" w:eastAsia="仿宋_GB2312" w:cs="仿宋_GB2312"/>
          <w:color w:val="000000"/>
          <w:spacing w:val="0"/>
          <w:w w:val="100"/>
          <w:position w:val="0"/>
          <w:sz w:val="32"/>
          <w:szCs w:val="32"/>
        </w:rPr>
        <w:t>;</w:t>
      </w:r>
    </w:p>
    <w:p>
      <w:pPr>
        <w:pStyle w:val="2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城乡社区支出32,413,116.27元，占</w:t>
      </w:r>
      <w:r>
        <w:rPr>
          <w:rFonts w:hint="eastAsia" w:ascii="仿宋_GB2312" w:hAnsi="仿宋_GB2312" w:eastAsia="仿宋_GB2312" w:cs="仿宋_GB2312"/>
          <w:color w:val="000000"/>
          <w:spacing w:val="0"/>
          <w:w w:val="100"/>
          <w:position w:val="0"/>
          <w:sz w:val="32"/>
          <w:szCs w:val="32"/>
          <w:lang w:val="en-US" w:eastAsia="zh-CN"/>
        </w:rPr>
        <w:t>17.41</w:t>
      </w:r>
      <w:r>
        <w:rPr>
          <w:rFonts w:hint="eastAsia" w:ascii="仿宋_GB2312" w:hAnsi="仿宋_GB2312" w:eastAsia="仿宋_GB2312" w:cs="仿宋_GB2312"/>
          <w:color w:val="000000"/>
          <w:spacing w:val="0"/>
          <w:w w:val="100"/>
          <w:position w:val="0"/>
          <w:sz w:val="32"/>
          <w:szCs w:val="32"/>
        </w:rPr>
        <w:t>%,较年初预算数增加25436213.27元，主要原因是</w:t>
      </w:r>
      <w:r>
        <w:rPr>
          <w:rFonts w:hint="eastAsia" w:ascii="仿宋_GB2312" w:hAnsi="仿宋_GB2312" w:eastAsia="仿宋_GB2312" w:cs="仿宋_GB2312"/>
          <w:color w:val="000000"/>
          <w:spacing w:val="0"/>
          <w:w w:val="100"/>
          <w:position w:val="0"/>
          <w:sz w:val="32"/>
          <w:szCs w:val="32"/>
          <w:lang w:val="en-US" w:eastAsia="zh-CN"/>
        </w:rPr>
        <w:t>项目支出增加</w:t>
      </w:r>
      <w:r>
        <w:rPr>
          <w:rFonts w:hint="eastAsia" w:ascii="仿宋_GB2312" w:hAnsi="仿宋_GB2312" w:eastAsia="仿宋_GB2312" w:cs="仿宋_GB2312"/>
          <w:color w:val="000000"/>
          <w:spacing w:val="0"/>
          <w:w w:val="100"/>
          <w:position w:val="0"/>
          <w:sz w:val="32"/>
          <w:szCs w:val="32"/>
        </w:rPr>
        <w:t>；</w:t>
      </w:r>
    </w:p>
    <w:p>
      <w:pPr>
        <w:pStyle w:val="2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农林水支出30,257,100.00元，占</w:t>
      </w:r>
      <w:r>
        <w:rPr>
          <w:rFonts w:hint="eastAsia" w:ascii="仿宋_GB2312" w:hAnsi="仿宋_GB2312" w:eastAsia="仿宋_GB2312" w:cs="仿宋_GB2312"/>
          <w:color w:val="000000"/>
          <w:spacing w:val="0"/>
          <w:w w:val="100"/>
          <w:position w:val="0"/>
          <w:sz w:val="32"/>
          <w:szCs w:val="32"/>
          <w:lang w:val="en-US" w:eastAsia="zh-CN"/>
        </w:rPr>
        <w:t>16.25</w:t>
      </w:r>
      <w:r>
        <w:rPr>
          <w:rFonts w:hint="eastAsia" w:ascii="仿宋_GB2312" w:hAnsi="仿宋_GB2312" w:eastAsia="仿宋_GB2312" w:cs="仿宋_GB2312"/>
          <w:color w:val="000000"/>
          <w:spacing w:val="0"/>
          <w:w w:val="100"/>
          <w:position w:val="0"/>
          <w:sz w:val="32"/>
          <w:szCs w:val="32"/>
        </w:rPr>
        <w:t>%,较年初预算数增加30,257,100.00元，主要原因是</w:t>
      </w:r>
      <w:r>
        <w:rPr>
          <w:rFonts w:hint="eastAsia" w:ascii="仿宋_GB2312" w:hAnsi="黑体" w:eastAsia="仿宋_GB2312"/>
          <w:b w:val="0"/>
          <w:bCs w:val="0"/>
          <w:sz w:val="32"/>
          <w:szCs w:val="32"/>
          <w:lang w:val="en-US" w:eastAsia="zh-CN"/>
        </w:rPr>
        <w:t>棚户区改造项目补助资金增加</w:t>
      </w:r>
      <w:r>
        <w:rPr>
          <w:rFonts w:hint="eastAsia" w:ascii="仿宋_GB2312" w:hAnsi="仿宋_GB2312" w:eastAsia="仿宋_GB2312" w:cs="仿宋_GB2312"/>
          <w:color w:val="000000"/>
          <w:spacing w:val="0"/>
          <w:w w:val="100"/>
          <w:position w:val="0"/>
          <w:sz w:val="32"/>
          <w:szCs w:val="32"/>
        </w:rPr>
        <w:t>;</w:t>
      </w:r>
    </w:p>
    <w:p>
      <w:pPr>
        <w:pStyle w:val="2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住房</w:t>
      </w:r>
      <w:r>
        <w:rPr>
          <w:rFonts w:hint="eastAsia" w:ascii="仿宋_GB2312" w:hAnsi="仿宋_GB2312" w:eastAsia="仿宋_GB2312" w:cs="仿宋_GB2312"/>
          <w:color w:val="000000"/>
          <w:spacing w:val="0"/>
          <w:w w:val="100"/>
          <w:position w:val="0"/>
          <w:sz w:val="32"/>
          <w:szCs w:val="32"/>
        </w:rPr>
        <w:t>保障支出93,246,735.64元，占</w:t>
      </w:r>
      <w:r>
        <w:rPr>
          <w:rFonts w:hint="eastAsia" w:ascii="仿宋_GB2312" w:hAnsi="仿宋_GB2312" w:eastAsia="仿宋_GB2312" w:cs="仿宋_GB2312"/>
          <w:color w:val="000000"/>
          <w:spacing w:val="0"/>
          <w:w w:val="100"/>
          <w:position w:val="0"/>
          <w:sz w:val="32"/>
          <w:szCs w:val="32"/>
          <w:lang w:val="en-US" w:eastAsia="zh-CN"/>
        </w:rPr>
        <w:t>50.08</w:t>
      </w:r>
      <w:r>
        <w:rPr>
          <w:rFonts w:hint="eastAsia" w:ascii="仿宋_GB2312" w:hAnsi="仿宋_GB2312" w:eastAsia="仿宋_GB2312" w:cs="仿宋_GB2312"/>
          <w:color w:val="000000"/>
          <w:spacing w:val="0"/>
          <w:w w:val="100"/>
          <w:position w:val="0"/>
          <w:sz w:val="32"/>
          <w:szCs w:val="32"/>
        </w:rPr>
        <w:t>%,较年初预算数增加36786735.64元,主要原因是</w:t>
      </w:r>
      <w:r>
        <w:rPr>
          <w:rFonts w:hint="eastAsia" w:ascii="仿宋_GB2312" w:hAnsi="黑体" w:eastAsia="仿宋_GB2312"/>
          <w:b w:val="0"/>
          <w:bCs w:val="0"/>
          <w:sz w:val="32"/>
          <w:szCs w:val="32"/>
          <w:lang w:val="en-US" w:eastAsia="zh-CN"/>
        </w:rPr>
        <w:t>棚户区改造项目补助资金增加</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tabs>
          <w:tab w:val="left" w:leader="dot" w:pos="454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灾害防治及应急管理支出</w:t>
      </w:r>
      <w:r>
        <w:rPr>
          <w:rFonts w:hint="eastAsia" w:ascii="仿宋_GB2312" w:hAnsi="仿宋_GB2312" w:eastAsia="仿宋_GB2312" w:cs="仿宋_GB2312"/>
          <w:color w:val="000000"/>
          <w:spacing w:val="0"/>
          <w:w w:val="100"/>
          <w:position w:val="0"/>
          <w:sz w:val="32"/>
          <w:szCs w:val="32"/>
          <w:lang w:val="en-US" w:eastAsia="en-US" w:bidi="en-US"/>
        </w:rPr>
        <w:t>810,000.00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0.43</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810,000.00</w:t>
      </w:r>
      <w:r>
        <w:rPr>
          <w:rFonts w:hint="eastAsia" w:ascii="仿宋_GB2312" w:hAnsi="仿宋_GB2312" w:eastAsia="仿宋_GB2312" w:cs="仿宋_GB2312"/>
          <w:color w:val="000000"/>
          <w:spacing w:val="0"/>
          <w:w w:val="100"/>
          <w:position w:val="0"/>
          <w:sz w:val="32"/>
          <w:szCs w:val="32"/>
        </w:rPr>
        <w:t>元。</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5"/>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21624407.84</w:t>
      </w:r>
      <w:r>
        <w:rPr>
          <w:rFonts w:hint="eastAsia" w:ascii="仿宋_GB2312" w:hAnsi="仿宋_GB2312" w:eastAsia="仿宋_GB2312" w:cs="仿宋_GB2312"/>
          <w:color w:val="000000"/>
          <w:spacing w:val="0"/>
          <w:w w:val="100"/>
          <w:position w:val="0"/>
          <w:sz w:val="32"/>
          <w:szCs w:val="32"/>
        </w:rPr>
        <w:t>元。其中：人员经费8576644.3元，较上年增加81923.76元，主要原因是</w:t>
      </w:r>
      <w:r>
        <w:rPr>
          <w:rFonts w:hint="eastAsia" w:ascii="仿宋_GB2312" w:hAnsi="仿宋_GB2312" w:eastAsia="仿宋_GB2312" w:cs="仿宋_GB2312"/>
          <w:color w:val="000000"/>
          <w:spacing w:val="0"/>
          <w:w w:val="100"/>
          <w:position w:val="0"/>
          <w:sz w:val="32"/>
          <w:szCs w:val="32"/>
          <w:lang w:val="en-US" w:eastAsia="zh-CN"/>
        </w:rPr>
        <w:t>人员变动、工资变动</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公用经费13047763.54元，较上年减少16301774.38元，主要原因是</w:t>
      </w:r>
      <w:r>
        <w:rPr>
          <w:rFonts w:hint="eastAsia" w:ascii="仿宋_GB2312" w:hAnsi="仿宋_GB2312" w:eastAsia="仿宋_GB2312" w:cs="仿宋_GB2312"/>
          <w:color w:val="000000"/>
          <w:spacing w:val="0"/>
          <w:w w:val="100"/>
          <w:position w:val="0"/>
          <w:sz w:val="32"/>
          <w:szCs w:val="32"/>
          <w:lang w:val="en-US" w:eastAsia="zh-CN"/>
        </w:rPr>
        <w:t>维修维护费用等减少</w:t>
      </w:r>
      <w:r>
        <w:rPr>
          <w:rFonts w:hint="eastAsia" w:ascii="仿宋_GB2312" w:hAnsi="仿宋_GB2312" w:eastAsia="仿宋_GB2312" w:cs="仿宋_GB2312"/>
          <w:color w:val="000000"/>
          <w:spacing w:val="0"/>
          <w:w w:val="100"/>
          <w:position w:val="0"/>
          <w:sz w:val="32"/>
          <w:szCs w:val="32"/>
        </w:rPr>
        <w:t>，公用经费用途主要包括办公费、印刷费、咨询费、</w:t>
      </w:r>
      <w:r>
        <w:rPr>
          <w:rFonts w:hint="eastAsia" w:ascii="仿宋_GB2312" w:hAnsi="仿宋_GB2312" w:eastAsia="仿宋_GB2312" w:cs="仿宋_GB2312"/>
          <w:color w:val="000000"/>
          <w:spacing w:val="0"/>
          <w:w w:val="100"/>
          <w:position w:val="0"/>
          <w:sz w:val="32"/>
          <w:szCs w:val="32"/>
          <w:lang w:val="en-US" w:eastAsia="zh-CN"/>
        </w:rPr>
        <w:t>委托业务费用</w:t>
      </w:r>
      <w:r>
        <w:rPr>
          <w:rFonts w:hint="eastAsia" w:ascii="仿宋_GB2312" w:hAnsi="仿宋_GB2312" w:eastAsia="仿宋_GB2312" w:cs="仿宋_GB2312"/>
          <w:color w:val="000000"/>
          <w:spacing w:val="0"/>
          <w:w w:val="100"/>
          <w:position w:val="0"/>
          <w:sz w:val="32"/>
          <w:szCs w:val="32"/>
        </w:rPr>
        <w:t>等。</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val="zh-CN" w:eastAsia="zh-CN"/>
        </w:rPr>
        <w:t>七、</w:t>
      </w:r>
      <w:r>
        <w:rPr>
          <w:rFonts w:hint="eastAsia" w:ascii="仿宋_GB2312" w:hAnsi="仿宋_GB2312" w:eastAsia="仿宋_GB2312" w:cs="仿宋_GB2312"/>
          <w:b/>
          <w:bCs/>
          <w:color w:val="000000"/>
          <w:spacing w:val="0"/>
          <w:w w:val="100"/>
          <w:position w:val="0"/>
          <w:sz w:val="32"/>
          <w:szCs w:val="32"/>
          <w:lang w:val="zh-CN" w:eastAsia="zh-CN"/>
        </w:rPr>
        <w:tab/>
      </w:r>
      <w:r>
        <w:rPr>
          <w:rFonts w:hint="eastAsia" w:ascii="仿宋_GB2312" w:hAnsi="仿宋_GB2312" w:eastAsia="仿宋_GB2312" w:cs="仿宋_GB2312"/>
          <w:b/>
          <w:bCs/>
          <w:color w:val="000000"/>
          <w:spacing w:val="0"/>
          <w:w w:val="100"/>
          <w:position w:val="0"/>
          <w:sz w:val="32"/>
          <w:szCs w:val="32"/>
          <w:lang w:val="zh-CN" w:eastAsia="zh-CN"/>
        </w:rPr>
        <w:t>一般公共预算财政拨款“三公”经费支出决算情况说明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pStyle w:val="3"/>
        <w:rPr>
          <w:rFonts w:hint="eastAsia"/>
        </w:rPr>
      </w:pPr>
    </w:p>
    <w:p>
      <w:pPr>
        <w:pStyle w:val="15"/>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5"/>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年本部门（本单位）机关运行经费支出13,047,763.54元，机关运行经费主要用于开支办公费、信息网络购置更新费等。机关运行经费较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en-US" w:bidi="en-US"/>
        </w:rPr>
        <w:t>1073230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8.96</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1</w:t>
      </w:r>
      <w:r>
        <w:rPr>
          <w:rFonts w:hint="eastAsia" w:ascii="仿宋_GB2312" w:hAnsi="仿宋_GB2312" w:eastAsia="仿宋_GB2312" w:cs="仿宋_GB2312"/>
          <w:color w:val="000000"/>
          <w:spacing w:val="0"/>
          <w:w w:val="100"/>
          <w:position w:val="0"/>
          <w:sz w:val="32"/>
          <w:szCs w:val="32"/>
        </w:rPr>
        <w:t>辆，其中：其他用车</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辆,其他用车主要是（</w:t>
      </w:r>
      <w:r>
        <w:rPr>
          <w:rFonts w:hint="eastAsia" w:ascii="仿宋_GB2312" w:hAnsi="仿宋_GB2312" w:eastAsia="仿宋_GB2312" w:cs="仿宋_GB2312"/>
          <w:color w:val="000000"/>
          <w:spacing w:val="0"/>
          <w:w w:val="100"/>
          <w:position w:val="0"/>
          <w:sz w:val="32"/>
          <w:szCs w:val="32"/>
          <w:lang w:val="en-US" w:eastAsia="zh-CN"/>
        </w:rPr>
        <w:t>物业用车、垃圾专用</w:t>
      </w:r>
      <w:r>
        <w:rPr>
          <w:rFonts w:hint="eastAsia" w:ascii="仿宋_GB2312" w:hAnsi="仿宋_GB2312" w:eastAsia="仿宋_GB2312" w:cs="仿宋_GB2312"/>
          <w:color w:val="000000"/>
          <w:spacing w:val="0"/>
          <w:w w:val="100"/>
          <w:position w:val="0"/>
          <w:sz w:val="32"/>
          <w:szCs w:val="32"/>
        </w:rPr>
        <w:t>），单价100万元以上专用设备</w:t>
      </w:r>
      <w:r>
        <w:rPr>
          <w:rFonts w:hint="eastAsia" w:ascii="仿宋_GB2312" w:hAnsi="仿宋_GB2312" w:eastAsia="仿宋_GB2312" w:cs="仿宋_GB2312"/>
          <w:color w:val="000000"/>
          <w:spacing w:val="0"/>
          <w:w w:val="100"/>
          <w:position w:val="0"/>
          <w:sz w:val="32"/>
          <w:szCs w:val="32"/>
          <w:lang w:val="en-US" w:eastAsia="zh-CN"/>
        </w:rPr>
        <w:t>两</w:t>
      </w:r>
      <w:r>
        <w:rPr>
          <w:rFonts w:hint="eastAsia" w:ascii="仿宋_GB2312" w:hAnsi="仿宋_GB2312" w:eastAsia="仿宋_GB2312" w:cs="仿宋_GB2312"/>
          <w:color w:val="000000"/>
          <w:spacing w:val="0"/>
          <w:w w:val="100"/>
          <w:position w:val="0"/>
          <w:sz w:val="32"/>
          <w:szCs w:val="32"/>
        </w:rPr>
        <w:t>台（套）。</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5"/>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en-US" w:bidi="en-US"/>
        </w:rPr>
        <w:t>13,540,820.00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en-US" w:bidi="en-US"/>
        </w:rPr>
        <w:t>13,540,820.00</w:t>
      </w:r>
      <w:r>
        <w:rPr>
          <w:rFonts w:hint="eastAsia" w:ascii="仿宋_GB2312" w:hAnsi="仿宋_GB2312" w:eastAsia="仿宋_GB2312" w:cs="仿宋_GB2312"/>
          <w:color w:val="000000"/>
          <w:spacing w:val="0"/>
          <w:w w:val="100"/>
          <w:position w:val="0"/>
          <w:sz w:val="32"/>
          <w:szCs w:val="32"/>
        </w:rPr>
        <w:t>元。</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5"/>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年度政府性基金预算财政拨款收入1394189557.01元，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1395155468.01</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val="en-US" w:eastAsia="zh-CN"/>
        </w:rPr>
        <w:t>棚户区改造项目支出。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5"/>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5"/>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en-US" w:bidi="en-US"/>
        </w:rPr>
        <w:t>1712413161.7</w:t>
      </w:r>
      <w:r>
        <w:rPr>
          <w:rFonts w:hint="eastAsia" w:ascii="仿宋_GB2312" w:hAnsi="仿宋_GB2312" w:eastAsia="仿宋_GB2312" w:cs="仿宋_GB2312"/>
          <w:color w:val="000000"/>
          <w:spacing w:val="0"/>
          <w:w w:val="100"/>
          <w:position w:val="0"/>
          <w:sz w:val="32"/>
          <w:szCs w:val="32"/>
        </w:rPr>
        <w:t>元。</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方正小标宋简体" w:hAnsi="方正小标宋简体" w:eastAsia="方正小标宋简体" w:cs="方正小标宋简体"/>
          <w:kern w:val="0"/>
          <w:sz w:val="44"/>
          <w:szCs w:val="44"/>
          <w:lang w:val="en-US" w:eastAsia="zh-CN"/>
        </w:rPr>
      </w:pPr>
      <w:r>
        <w:rPr>
          <w:rStyle w:val="30"/>
          <w:rFonts w:hint="eastAsia" w:ascii="仿宋_GB2312" w:hAnsi="仿宋_GB2312" w:eastAsia="仿宋_GB2312"/>
          <w:kern w:val="2"/>
          <w:sz w:val="32"/>
          <w:szCs w:val="22"/>
          <w:lang w:val="en-US" w:eastAsia="zh-CN"/>
        </w:rPr>
        <w:t>认真开展了2021年城镇保障性安居工程财政资金绩效评价工作，现将绩效评价情况报告如下:</w:t>
      </w:r>
    </w:p>
    <w:p>
      <w:pPr>
        <w:pStyle w:val="3"/>
        <w:numPr>
          <w:ilvl w:val="0"/>
          <w:numId w:val="3"/>
        </w:numPr>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基本情况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baseline"/>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kern w:val="0"/>
          <w:sz w:val="32"/>
          <w:szCs w:val="32"/>
          <w:lang w:val="en-US" w:eastAsia="zh-CN"/>
        </w:rPr>
        <w:t>（一）、</w:t>
      </w:r>
      <w:r>
        <w:rPr>
          <w:rFonts w:hint="eastAsia" w:ascii="仿宋_GB2312" w:hAnsi="仿宋_GB2312" w:eastAsia="仿宋_GB2312" w:cs="仿宋_GB2312"/>
          <w:b/>
          <w:bCs/>
          <w:kern w:val="0"/>
          <w:sz w:val="32"/>
          <w:szCs w:val="32"/>
          <w:lang w:val="en-US" w:eastAsia="zh-CN"/>
        </w:rPr>
        <w:t>项目概况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rPr>
        <w:t>2021年我县实施的保障性安居工程项目分别为东乡县2021年沿洮河经济带棚户区改造（三期）及住宅小区开发项目，农行家属院老旧小区基础设施改造项目1处。东乡县沿洮河经济带开发建设项目棚户区改造（三期）工程1339套，正在施工图审查阶段，老旧小区建设项目</w:t>
      </w:r>
      <w:r>
        <w:rPr>
          <w:rFonts w:hint="eastAsia" w:ascii="仿宋_GB2312" w:hAnsi="仿宋_GB2312" w:eastAsia="仿宋_GB2312" w:cs="仿宋_GB2312"/>
          <w:sz w:val="32"/>
          <w:szCs w:val="32"/>
          <w:lang w:val="en-US" w:eastAsia="zh-CN"/>
        </w:rPr>
        <w:t>已完工。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baseline"/>
        <w:rPr>
          <w:rFonts w:hint="default"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（二）、资金到位及完成情况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baseline"/>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2021年下达保障性安居工程专项补助资金11893.74万元，其中：中央资金10907万元，省级资857万元，州级补充资金129.74万元；按项目进度拨付资金2433.82万元；其中：支出中央资金2104.8万元，支出省级城镇住房保障家庭租赁补贴</w:t>
      </w:r>
      <w:r>
        <w:rPr>
          <w:rFonts w:hint="eastAsia" w:ascii="仿宋_GB2312" w:hAnsi="仿宋_GB2312" w:eastAsia="仿宋_GB2312" w:cs="仿宋_GB2312"/>
          <w:kern w:val="0"/>
          <w:sz w:val="32"/>
          <w:szCs w:val="32"/>
          <w:u w:val="none"/>
          <w:lang w:val="en-US" w:eastAsia="zh-CN"/>
        </w:rPr>
        <w:t>2312</w:t>
      </w:r>
      <w:r>
        <w:rPr>
          <w:rFonts w:hint="eastAsia" w:ascii="仿宋_GB2312" w:hAnsi="仿宋_GB2312" w:eastAsia="仿宋_GB2312" w:cs="仿宋_GB2312"/>
          <w:kern w:val="0"/>
          <w:sz w:val="32"/>
          <w:szCs w:val="32"/>
          <w:lang w:val="en-US" w:eastAsia="zh-CN"/>
        </w:rPr>
        <w:t>户216.5万元，支出州级补充资金112.52万元。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baseline"/>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严格按国库集中支付制度拨付省州专项补助资金，确保专项资金安全完整。依据保障性安居工程的投资计划，审定概（预）算，根据工程进度，确保保障性安居工程建设资金及时足额拨付到项目单位，加强对项目进展及资金使用情况督导和检查。项目单位建立健全财务会计管理制度，严格按照合同约定支付工程款，严格租赁补贴资金发放程序，确保资金发放准确、及时，无违规使用资金现象。</w:t>
      </w:r>
      <w:r>
        <w:rPr>
          <w:rFonts w:hint="eastAsia" w:ascii="仿宋_GB2312" w:hAnsi="仿宋_GB2312" w:eastAsia="仿宋_GB2312" w:cs="仿宋_GB2312"/>
          <w:sz w:val="32"/>
          <w:szCs w:val="32"/>
        </w:rPr>
        <w:t>建立健全保障性安居工程资金来源和使用情况的监督检查机制，加强保障性安居工程建设资金的全过程管理。</w:t>
      </w:r>
    </w:p>
    <w:p>
      <w:pPr>
        <w:keepNext w:val="0"/>
        <w:keepLines w:val="0"/>
        <w:pageBreakBefore w:val="0"/>
        <w:numPr>
          <w:ilvl w:val="0"/>
          <w:numId w:val="0"/>
        </w:numPr>
        <w:tabs>
          <w:tab w:val="right" w:pos="7666"/>
        </w:tabs>
        <w:kinsoku/>
        <w:wordWrap/>
        <w:overflowPunct/>
        <w:topLinePunct w:val="0"/>
        <w:autoSpaceDE/>
        <w:autoSpaceDN/>
        <w:bidi w:val="0"/>
        <w:adjustRightInd/>
        <w:snapToGrid/>
        <w:spacing w:line="560" w:lineRule="exact"/>
        <w:ind w:firstLine="640" w:firstLineChars="200"/>
        <w:rPr>
          <w:rStyle w:val="30"/>
          <w:rFonts w:hint="eastAsia" w:ascii="仿宋_GB2312" w:hAnsi="仿宋_GB2312" w:eastAsia="仿宋_GB2312" w:cs="Times New Roman"/>
          <w:b/>
          <w:bCs/>
          <w:sz w:val="32"/>
          <w:szCs w:val="22"/>
          <w:lang w:val="en-US" w:eastAsia="zh-CN" w:bidi="ar-SA"/>
        </w:rPr>
      </w:pPr>
      <w:r>
        <w:rPr>
          <w:rFonts w:hint="eastAsia" w:ascii="仿宋_GB2312" w:hAnsi="仿宋_GB2312" w:eastAsia="仿宋_GB2312" w:cs="仿宋_GB2312"/>
          <w:kern w:val="0"/>
          <w:sz w:val="32"/>
          <w:szCs w:val="32"/>
          <w:lang w:val="en-US" w:eastAsia="zh-CN"/>
        </w:rPr>
        <w:t>二、</w:t>
      </w:r>
      <w:r>
        <w:rPr>
          <w:rStyle w:val="30"/>
          <w:rFonts w:hint="eastAsia" w:ascii="仿宋_GB2312" w:hAnsi="仿宋_GB2312" w:eastAsia="仿宋_GB2312" w:cs="Times New Roman"/>
          <w:b/>
          <w:bCs/>
          <w:sz w:val="32"/>
          <w:szCs w:val="22"/>
          <w:lang w:val="en-US" w:eastAsia="zh-CN" w:bidi="ar-SA"/>
        </w:rPr>
        <w:t>绩效评价开展情况</w:t>
      </w:r>
    </w:p>
    <w:p>
      <w:pPr>
        <w:keepNext w:val="0"/>
        <w:keepLines w:val="0"/>
        <w:pageBreakBefore w:val="0"/>
        <w:widowControl w:val="0"/>
        <w:kinsoku/>
        <w:wordWrap/>
        <w:overflowPunct/>
        <w:topLinePunct w:val="0"/>
        <w:autoSpaceDE/>
        <w:autoSpaceDN/>
        <w:bidi w:val="0"/>
        <w:adjustRightInd/>
        <w:snapToGrid/>
        <w:spacing w:line="576" w:lineRule="exact"/>
        <w:ind w:left="1" w:firstLine="640" w:firstLineChars="200"/>
        <w:textAlignment w:val="baseline"/>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我县实行住房保障随时申请、随时受理的工作机制，进一步完善公租房申请受理渠道、审核准入程序，提高效率，实现为民服务“一站通”，方便了群众。申请审核工作严格按照“三审两公示”制度，在综合考虑保障对象的住房困难程度、收入水平、申请顺序、保障需求以及房源等情况的基础上，合理确定轮候排序规则，统一轮候配租。在实物保障中按程序规范要求，制定实物配租流程，采取信息公开，现场摇号主动接受社会监督，确保了分配公平、公正、公开。继续执行月通报季督查制度，加大辖区内棚改项目督查力度，定期通报改造进度；重视过程监督、专项督查，并将工作落实情况纳入目标绩效考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baseline"/>
        <w:rPr>
          <w:rFonts w:hint="eastAsia"/>
          <w:lang w:val="en-US" w:eastAsia="zh-CN"/>
        </w:rPr>
      </w:pPr>
      <w:r>
        <w:rPr>
          <w:rFonts w:hint="eastAsia" w:ascii="仿宋_GB2312" w:hAnsi="仿宋_GB2312" w:eastAsia="仿宋_GB2312" w:cs="仿宋_GB2312"/>
          <w:kern w:val="0"/>
          <w:sz w:val="32"/>
          <w:szCs w:val="32"/>
          <w:lang w:val="en-US" w:eastAsia="zh-CN"/>
        </w:rPr>
        <w:t>认真落实政务公开的具体要求，及时发布政务动态、及时反馈咨询信息，促进与服务对象的紧密联系。住房保障政策和保障性安居工程建设计划、项目、开工、进度、竣工、分配等情况，全部在政府网站以及住房保障主管部门网站进行公开。指定专人负责住房保障政务信息公开及对公开的政务信息落实跟踪检查管理，确保发布的信息准确无误。</w:t>
      </w:r>
    </w:p>
    <w:p>
      <w:pPr>
        <w:keepNext w:val="0"/>
        <w:keepLines w:val="0"/>
        <w:pageBreakBefore w:val="0"/>
        <w:numPr>
          <w:ilvl w:val="0"/>
          <w:numId w:val="0"/>
        </w:numPr>
        <w:tabs>
          <w:tab w:val="right" w:pos="7666"/>
        </w:tabs>
        <w:kinsoku/>
        <w:wordWrap/>
        <w:overflowPunct/>
        <w:topLinePunct w:val="0"/>
        <w:autoSpaceDE/>
        <w:autoSpaceDN/>
        <w:bidi w:val="0"/>
        <w:adjustRightInd/>
        <w:snapToGrid/>
        <w:spacing w:line="560" w:lineRule="exact"/>
        <w:ind w:firstLine="643" w:firstLineChars="200"/>
        <w:rPr>
          <w:rStyle w:val="30"/>
          <w:rFonts w:hint="eastAsia" w:ascii="仿宋_GB2312" w:hAnsi="仿宋_GB2312" w:eastAsia="仿宋_GB2312" w:cs="Times New Roman"/>
          <w:b/>
          <w:bCs/>
          <w:sz w:val="32"/>
          <w:szCs w:val="22"/>
          <w:lang w:val="en-US" w:eastAsia="zh-CN" w:bidi="ar-SA"/>
        </w:rPr>
      </w:pPr>
      <w:r>
        <w:rPr>
          <w:rStyle w:val="30"/>
          <w:rFonts w:hint="eastAsia" w:ascii="仿宋_GB2312" w:hAnsi="仿宋_GB2312" w:eastAsia="仿宋_GB2312" w:cs="Times New Roman"/>
          <w:b/>
          <w:bCs/>
          <w:sz w:val="32"/>
          <w:szCs w:val="22"/>
          <w:lang w:val="en-US" w:eastAsia="zh-CN" w:bidi="ar-SA"/>
        </w:rPr>
        <w:t>三、综合评价情况及评价结论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pPr>
      <w:r>
        <w:rPr>
          <w:rFonts w:ascii="仿宋_GB2312" w:eastAsia="仿宋_GB2312" w:cs="仿宋_GB2312"/>
          <w:color w:val="333333"/>
          <w:sz w:val="31"/>
          <w:szCs w:val="31"/>
          <w:shd w:val="clear" w:color="auto" w:fill="FFFFFF"/>
        </w:rPr>
        <w:t>通过对</w:t>
      </w:r>
      <w:r>
        <w:rPr>
          <w:rFonts w:hint="eastAsia" w:ascii="仿宋_GB2312" w:hAnsi="仿宋_GB2312" w:eastAsia="仿宋_GB2312" w:cs="仿宋_GB2312"/>
          <w:kern w:val="0"/>
          <w:sz w:val="32"/>
          <w:szCs w:val="32"/>
          <w:lang w:val="en-US" w:eastAsia="zh-CN"/>
        </w:rPr>
        <w:t>2021年沿洮河经济带棚户区改造（三期）及住宅小区开发项目，农行家属院老旧小区基础设施改造</w:t>
      </w:r>
      <w:r>
        <w:rPr>
          <w:rFonts w:ascii="仿宋_GB2312" w:eastAsia="仿宋_GB2312" w:cs="仿宋_GB2312"/>
          <w:color w:val="333333"/>
          <w:sz w:val="31"/>
          <w:szCs w:val="31"/>
          <w:shd w:val="clear" w:color="auto" w:fill="FFFFFF"/>
        </w:rPr>
        <w:t>项目资金的使用情况进行绩效评价，衡量项目资金的“产出”与“</w:t>
      </w:r>
      <w:r>
        <w:rPr>
          <w:rFonts w:hint="eastAsia" w:ascii="仿宋_GB2312" w:eastAsia="仿宋_GB2312" w:cs="仿宋_GB2312"/>
          <w:color w:val="333333"/>
          <w:sz w:val="31"/>
          <w:szCs w:val="31"/>
          <w:shd w:val="clear" w:color="auto" w:fill="FFFFFF"/>
          <w:lang w:val="en-US" w:eastAsia="zh-CN"/>
        </w:rPr>
        <w:t>效益</w:t>
      </w:r>
      <w:r>
        <w:rPr>
          <w:rFonts w:ascii="仿宋_GB2312" w:eastAsia="仿宋_GB2312" w:cs="仿宋_GB2312"/>
          <w:color w:val="333333"/>
          <w:sz w:val="31"/>
          <w:szCs w:val="31"/>
          <w:shd w:val="clear" w:color="auto" w:fill="FFFFFF"/>
        </w:rPr>
        <w:t>”，了解、分析、检验项目是否达到预期目标，资金的使用是否有效。同时总结经验，分析问题，采取措施进一步改进和完善财政支出项目管理，提高财政资金使用效益，进一步完善我县绩效评价工作体系。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rPr>
          <w:rFonts w:hint="eastAsia" w:ascii="仿宋_GB2312" w:eastAsia="仿宋_GB2312" w:cs="仿宋_GB2312"/>
          <w:color w:val="333333"/>
          <w:sz w:val="31"/>
          <w:szCs w:val="31"/>
          <w:shd w:val="clear" w:color="auto" w:fill="FFFFFF"/>
          <w:lang w:val="en-US" w:eastAsia="zh-CN"/>
        </w:rPr>
      </w:pPr>
      <w:r>
        <w:rPr>
          <w:rFonts w:ascii="仿宋_GB2312" w:eastAsia="仿宋_GB2312" w:cs="仿宋_GB2312"/>
          <w:color w:val="333333"/>
          <w:sz w:val="31"/>
          <w:szCs w:val="31"/>
          <w:shd w:val="clear" w:color="auto" w:fill="FFFFFF"/>
        </w:rPr>
        <w:t>综合自评，</w:t>
      </w:r>
      <w:r>
        <w:rPr>
          <w:rFonts w:hint="eastAsia" w:ascii="仿宋_GB2312" w:eastAsia="仿宋_GB2312" w:cs="仿宋_GB2312"/>
          <w:color w:val="333333"/>
          <w:sz w:val="31"/>
          <w:szCs w:val="31"/>
          <w:shd w:val="clear" w:color="auto" w:fill="FFFFFF"/>
          <w:lang w:eastAsia="zh-CN"/>
        </w:rPr>
        <w:t>东乡县</w:t>
      </w:r>
      <w:r>
        <w:rPr>
          <w:rFonts w:ascii="仿宋_GB2312" w:eastAsia="仿宋_GB2312" w:cs="仿宋_GB2312"/>
          <w:color w:val="333333"/>
          <w:sz w:val="31"/>
          <w:szCs w:val="31"/>
          <w:shd w:val="clear" w:color="auto" w:fill="FFFFFF"/>
        </w:rPr>
        <w:t>20</w:t>
      </w:r>
      <w:r>
        <w:rPr>
          <w:rFonts w:hint="eastAsia" w:ascii="仿宋_GB2312" w:eastAsia="仿宋_GB2312" w:cs="仿宋_GB2312"/>
          <w:color w:val="333333"/>
          <w:sz w:val="31"/>
          <w:szCs w:val="31"/>
          <w:shd w:val="clear" w:color="auto" w:fill="FFFFFF"/>
          <w:lang w:val="en-US" w:eastAsia="zh-CN"/>
        </w:rPr>
        <w:t>21</w:t>
      </w:r>
      <w:r>
        <w:rPr>
          <w:rFonts w:ascii="仿宋_GB2312" w:eastAsia="仿宋_GB2312" w:cs="仿宋_GB2312"/>
          <w:color w:val="333333"/>
          <w:sz w:val="31"/>
          <w:szCs w:val="31"/>
          <w:shd w:val="clear" w:color="auto" w:fill="FFFFFF"/>
        </w:rPr>
        <w:t>年</w:t>
      </w:r>
      <w:r>
        <w:rPr>
          <w:rFonts w:hint="eastAsia" w:ascii="仿宋_GB2312" w:eastAsia="仿宋_GB2312" w:cs="仿宋_GB2312"/>
          <w:color w:val="333333"/>
          <w:sz w:val="31"/>
          <w:szCs w:val="31"/>
          <w:shd w:val="clear" w:color="auto" w:fill="FFFFFF"/>
          <w:lang w:val="en-US" w:eastAsia="zh-CN"/>
        </w:rPr>
        <w:t>保障性安居工程财政资金</w:t>
      </w:r>
      <w:r>
        <w:rPr>
          <w:rFonts w:hint="eastAsia" w:ascii="仿宋_GB2312" w:hAnsi="仿宋_GB2312" w:eastAsia="仿宋_GB2312" w:cs="仿宋_GB2312"/>
          <w:kern w:val="0"/>
          <w:sz w:val="32"/>
          <w:szCs w:val="32"/>
          <w:lang w:val="en-US" w:eastAsia="zh-CN"/>
        </w:rPr>
        <w:t>项目</w:t>
      </w:r>
      <w:r>
        <w:rPr>
          <w:rFonts w:ascii="仿宋_GB2312" w:eastAsia="仿宋_GB2312" w:cs="仿宋_GB2312"/>
          <w:color w:val="333333"/>
          <w:sz w:val="31"/>
          <w:szCs w:val="31"/>
          <w:shd w:val="clear" w:color="auto" w:fill="FFFFFF"/>
        </w:rPr>
        <w:t>工程评分为</w:t>
      </w:r>
      <w:r>
        <w:rPr>
          <w:rFonts w:hint="eastAsia" w:ascii="仿宋_GB2312" w:eastAsia="仿宋_GB2312" w:cs="仿宋_GB2312"/>
          <w:color w:val="333333"/>
          <w:sz w:val="31"/>
          <w:szCs w:val="31"/>
          <w:shd w:val="clear" w:color="auto" w:fill="FFFFFF"/>
          <w:lang w:val="en-US" w:eastAsia="zh-CN"/>
        </w:rPr>
        <w:t>92</w:t>
      </w:r>
      <w:r>
        <w:rPr>
          <w:rFonts w:ascii="仿宋_GB2312" w:eastAsia="仿宋_GB2312" w:cs="仿宋_GB2312"/>
          <w:color w:val="333333"/>
          <w:sz w:val="31"/>
          <w:szCs w:val="31"/>
          <w:shd w:val="clear" w:color="auto" w:fill="FFFFFF"/>
        </w:rPr>
        <w:t>分</w:t>
      </w:r>
      <w:r>
        <w:rPr>
          <w:rFonts w:hint="eastAsia" w:ascii="仿宋_GB2312" w:eastAsia="仿宋_GB2312" w:cs="仿宋_GB2312"/>
          <w:color w:val="333333"/>
          <w:sz w:val="31"/>
          <w:szCs w:val="31"/>
          <w:shd w:val="clear" w:color="auto" w:fill="FFFFFF"/>
          <w:lang w:val="en-US" w:eastAsia="zh-CN"/>
        </w:rPr>
        <w:t>。</w:t>
      </w:r>
    </w:p>
    <w:p>
      <w:pPr>
        <w:keepNext w:val="0"/>
        <w:keepLines w:val="0"/>
        <w:pageBreakBefore w:val="0"/>
        <w:numPr>
          <w:ilvl w:val="0"/>
          <w:numId w:val="0"/>
        </w:numPr>
        <w:tabs>
          <w:tab w:val="right" w:pos="7666"/>
        </w:tabs>
        <w:kinsoku/>
        <w:wordWrap/>
        <w:overflowPunct/>
        <w:topLinePunct w:val="0"/>
        <w:autoSpaceDE/>
        <w:autoSpaceDN/>
        <w:bidi w:val="0"/>
        <w:adjustRightInd/>
        <w:snapToGrid/>
        <w:spacing w:line="560" w:lineRule="exact"/>
        <w:ind w:firstLine="643" w:firstLineChars="200"/>
        <w:rPr>
          <w:rStyle w:val="30"/>
          <w:rFonts w:hint="eastAsia" w:ascii="仿宋_GB2312" w:hAnsi="仿宋_GB2312" w:eastAsia="仿宋_GB2312" w:cs="Times New Roman"/>
          <w:b/>
          <w:bCs/>
          <w:sz w:val="32"/>
          <w:szCs w:val="22"/>
          <w:lang w:val="en-US" w:eastAsia="zh-CN" w:bidi="ar-SA"/>
        </w:rPr>
      </w:pPr>
      <w:r>
        <w:rPr>
          <w:rStyle w:val="30"/>
          <w:rFonts w:hint="eastAsia" w:ascii="仿宋_GB2312" w:hAnsi="仿宋_GB2312" w:eastAsia="仿宋_GB2312" w:cs="Times New Roman"/>
          <w:b/>
          <w:bCs/>
          <w:sz w:val="32"/>
          <w:szCs w:val="22"/>
          <w:lang w:val="en-US" w:eastAsia="zh-CN" w:bidi="ar-SA"/>
        </w:rPr>
        <w:t>四、绩效评价指标分析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bottom"/>
        <w:outlineLvl w:val="9"/>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（一）产出指标分析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bottom"/>
        <w:outlineLvl w:val="9"/>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1、项目开工计划完成率，项目实际开工大于或等于年度计划。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bottom"/>
        <w:outlineLvl w:val="9"/>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2、租赁补贴发放计划完成率，实际发放补贴户数大于或等于计划发放数量。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bottom"/>
        <w:outlineLvl w:val="9"/>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3、工程质量，工程质量符合标准，不存在工程质量问题。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bottom"/>
        <w:outlineLvl w:val="9"/>
        <w:rPr>
          <w:rFonts w:hint="eastAsia" w:ascii="仿宋_GB2312" w:hAnsi="仿宋_GB2312" w:eastAsia="仿宋_GB2312" w:cs="仿宋_GB2312"/>
          <w:b w:val="0"/>
          <w:bCs/>
          <w:kern w:val="0"/>
          <w:sz w:val="32"/>
          <w:szCs w:val="32"/>
          <w:lang w:val="en-US" w:eastAsia="zh-CN" w:bidi="ar-SA"/>
        </w:rPr>
      </w:pPr>
      <w:r>
        <w:rPr>
          <w:rFonts w:hint="eastAsia" w:ascii="仿宋_GB2312" w:hAnsi="仿宋_GB2312" w:eastAsia="仿宋_GB2312" w:cs="仿宋_GB2312"/>
          <w:b w:val="0"/>
          <w:bCs/>
          <w:kern w:val="0"/>
          <w:sz w:val="32"/>
          <w:szCs w:val="32"/>
          <w:lang w:val="en-US" w:eastAsia="zh-CN" w:bidi="ar-SA"/>
        </w:rPr>
        <w:t>4、评价报告报送及时、完整性，按时报送绩效自评表、绩效评价报告且内容完整。</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rPr>
          <w:rFonts w:hint="default" w:ascii="仿宋_GB2312" w:hAnsi="仿宋_GB2312" w:eastAsia="仿宋_GB2312" w:cs="仿宋_GB2312"/>
          <w:b w:val="0"/>
          <w:bCs/>
          <w:kern w:val="0"/>
          <w:sz w:val="32"/>
          <w:szCs w:val="32"/>
          <w:lang w:val="en-US" w:eastAsia="zh-CN" w:bidi="ar-SA"/>
        </w:rPr>
      </w:pPr>
      <w:r>
        <w:rPr>
          <w:rFonts w:hint="eastAsia" w:ascii="仿宋_GB2312" w:hAnsi="仿宋_GB2312" w:eastAsia="仿宋_GB2312" w:cs="仿宋_GB2312"/>
          <w:b w:val="0"/>
          <w:bCs/>
          <w:kern w:val="0"/>
          <w:sz w:val="32"/>
          <w:szCs w:val="32"/>
          <w:lang w:val="en-US" w:eastAsia="zh-CN" w:bidi="ar-SA"/>
        </w:rPr>
        <w:t>5、政策公开，城镇保障性安居工程管理相关政策、项目年度计划等及时对外公开。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（二）效果指标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1、严格评估财政承受能力，提出棚改年度计划时，提交了县财政承受能力论证评估报告，确保任务计划在所在城市财政承受能力范围之内，坚决遏制地方政府隐性债务增量。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2、加大配套基础设施建设力度，改善周边环境和服务条件，让群众住得放心、舒心、暖心。配套完善棚改区域居住环境、提升城市形象改善基础生产生活条件等方面成效明显。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kern w:val="0"/>
          <w:sz w:val="32"/>
          <w:szCs w:val="32"/>
          <w:lang w:val="en-US" w:eastAsia="zh-CN"/>
        </w:rPr>
      </w:pPr>
      <w:r>
        <w:rPr>
          <w:rFonts w:hint="default" w:ascii="仿宋_GB2312" w:hAnsi="仿宋_GB2312" w:eastAsia="仿宋_GB2312" w:cs="仿宋_GB2312"/>
          <w:b w:val="0"/>
          <w:bCs/>
          <w:kern w:val="0"/>
          <w:sz w:val="32"/>
          <w:szCs w:val="32"/>
          <w:lang w:val="en-US" w:eastAsia="zh-CN"/>
        </w:rPr>
        <w:t>满意度指标</w:t>
      </w:r>
      <w:r>
        <w:rPr>
          <w:rFonts w:hint="eastAsia" w:ascii="仿宋_GB2312" w:hAnsi="仿宋_GB2312" w:eastAsia="仿宋_GB2312" w:cs="仿宋_GB2312"/>
          <w:b w:val="0"/>
          <w:bCs/>
          <w:kern w:val="0"/>
          <w:sz w:val="32"/>
          <w:szCs w:val="32"/>
          <w:lang w:val="en-US" w:eastAsia="zh-CN"/>
        </w:rPr>
        <w:t>，调查问卷得分≥80分。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（三）项目绩效目标</w:t>
      </w:r>
    </w:p>
    <w:p>
      <w:pPr>
        <w:keepNext w:val="0"/>
        <w:keepLines w:val="0"/>
        <w:pageBreakBefore w:val="0"/>
        <w:widowControl w:val="0"/>
        <w:kinsoku/>
        <w:wordWrap/>
        <w:overflowPunct/>
        <w:topLinePunct w:val="0"/>
        <w:autoSpaceDE/>
        <w:autoSpaceDN/>
        <w:bidi w:val="0"/>
        <w:adjustRightInd/>
        <w:snapToGrid/>
        <w:spacing w:line="576" w:lineRule="exact"/>
        <w:ind w:left="1" w:firstLine="640" w:firstLineChars="200"/>
        <w:textAlignment w:val="baseline"/>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实施棚改以来，一大批棚户区居民从低矮潮湿、漏雨透风的老旧房，搬进了宽敞明亮、配套完善的现代化小区，“出棚进楼”，住房条件得到极大改善，圆了安居梦。在有效改善困难群众住房条件的同时，彻底解决了城市老旧住宅区和城中村房屋安全隐患严重、住房功能不全，环境脏乱差、设施不配套的问题，完善了城市基础设施和公共服务功能，补齐发展短板，优化了城市布局，提升了城市形象和城镇化质量，取得了良好的社会效益。</w:t>
      </w:r>
    </w:p>
    <w:p>
      <w:pPr>
        <w:keepNext w:val="0"/>
        <w:keepLines w:val="0"/>
        <w:pageBreakBefore w:val="0"/>
        <w:widowControl w:val="0"/>
        <w:kinsoku/>
        <w:wordWrap/>
        <w:overflowPunct/>
        <w:topLinePunct w:val="0"/>
        <w:autoSpaceDE/>
        <w:autoSpaceDN/>
        <w:bidi w:val="0"/>
        <w:adjustRightInd/>
        <w:snapToGrid/>
        <w:spacing w:line="576" w:lineRule="exact"/>
        <w:ind w:left="1" w:firstLine="640" w:firstLineChars="200"/>
        <w:textAlignment w:val="baseline"/>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面对我县当前地价、房价不断升高，一部分城市居民买不起商品房，通过保障性住房安置方式，实现部分困难群体住有所居，通过保障性安居工程项目配套建设，改善了城区面貌和群众生活居住条件，有效治理区域环境，充分利用城市边缘土地。</w:t>
      </w:r>
    </w:p>
    <w:p>
      <w:pPr>
        <w:keepNext w:val="0"/>
        <w:keepLines w:val="0"/>
        <w:pageBreakBefore w:val="0"/>
        <w:widowControl w:val="0"/>
        <w:kinsoku/>
        <w:wordWrap/>
        <w:overflowPunct/>
        <w:topLinePunct w:val="0"/>
        <w:autoSpaceDE/>
        <w:autoSpaceDN/>
        <w:bidi w:val="0"/>
        <w:adjustRightInd/>
        <w:snapToGrid/>
        <w:spacing w:line="576" w:lineRule="exact"/>
        <w:ind w:left="1" w:firstLine="640" w:firstLineChars="200"/>
        <w:textAlignment w:val="baseline"/>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经济效益。通过保障性住房、安置房建设，直接促进全县重点项目拆迁和城市发展。已入住的安置对象在房屋装修、家用电器等方面拉动了消费，促进了我县经济社会的可持续发展。通过对入住群众的调查了解，普遍认为保障性住房设计比较合理，配套功能比较完备，入住对象满意度比较高。</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9" w:name="_GoBack"/>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abstractNum w:abstractNumId="2">
    <w:nsid w:val="6131A20E"/>
    <w:multiLevelType w:val="singleLevel"/>
    <w:tmpl w:val="6131A20E"/>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MWQyZTNiOTdiYTdmNWNjZGMxNzE3MWVjNTQ0YTU5NDIifQ=="/>
  </w:docVars>
  <w:rsids>
    <w:rsidRoot w:val="00000000"/>
    <w:rsid w:val="0511788F"/>
    <w:rsid w:val="06AA1511"/>
    <w:rsid w:val="06B97ECB"/>
    <w:rsid w:val="0A4C6688"/>
    <w:rsid w:val="0EF371AF"/>
    <w:rsid w:val="1739327C"/>
    <w:rsid w:val="19BA4320"/>
    <w:rsid w:val="1B205130"/>
    <w:rsid w:val="1E712589"/>
    <w:rsid w:val="1F523B54"/>
    <w:rsid w:val="25FD0C5D"/>
    <w:rsid w:val="29C05E6C"/>
    <w:rsid w:val="2A364A30"/>
    <w:rsid w:val="2B07436E"/>
    <w:rsid w:val="2D282E63"/>
    <w:rsid w:val="2F990904"/>
    <w:rsid w:val="36FA0FB7"/>
    <w:rsid w:val="39F46F0A"/>
    <w:rsid w:val="3ABD5DEE"/>
    <w:rsid w:val="3BD710AD"/>
    <w:rsid w:val="40800F0E"/>
    <w:rsid w:val="41670196"/>
    <w:rsid w:val="42736B67"/>
    <w:rsid w:val="43D445BB"/>
    <w:rsid w:val="44FF7003"/>
    <w:rsid w:val="4A783AE0"/>
    <w:rsid w:val="4B60103E"/>
    <w:rsid w:val="4F1428B3"/>
    <w:rsid w:val="537062B7"/>
    <w:rsid w:val="57D535F7"/>
    <w:rsid w:val="58806626"/>
    <w:rsid w:val="60D720E0"/>
    <w:rsid w:val="62922058"/>
    <w:rsid w:val="6712369C"/>
    <w:rsid w:val="70FF3D63"/>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6">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 Text Indent 21"/>
    <w:basedOn w:val="1"/>
    <w:qFormat/>
    <w:uiPriority w:val="0"/>
    <w:pPr>
      <w:spacing w:line="480" w:lineRule="auto"/>
      <w:ind w:left="420" w:leftChars="200"/>
    </w:pPr>
  </w:style>
  <w:style w:type="paragraph" w:styleId="3">
    <w:name w:val="Body Text Indent 2"/>
    <w:basedOn w:val="1"/>
    <w:qFormat/>
    <w:uiPriority w:val="0"/>
    <w:pPr>
      <w:spacing w:after="120" w:afterLines="0" w:line="480" w:lineRule="auto"/>
      <w:ind w:left="420" w:leftChars="200"/>
    </w:pPr>
    <w:rPr>
      <w:rFonts w:ascii="Times New Roman" w:hAnsi="Times New Roman" w:eastAsia="宋体" w:cs="Times New Roman"/>
    </w:rPr>
  </w:style>
  <w:style w:type="paragraph" w:styleId="4">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7">
    <w:name w:val="Strong"/>
    <w:basedOn w:val="6"/>
    <w:qFormat/>
    <w:uiPriority w:val="0"/>
    <w:rPr>
      <w:b/>
      <w:bCs/>
    </w:rPr>
  </w:style>
  <w:style w:type="character" w:styleId="8">
    <w:name w:val="FollowedHyperlink"/>
    <w:basedOn w:val="6"/>
    <w:qFormat/>
    <w:uiPriority w:val="0"/>
    <w:rPr>
      <w:color w:val="333333"/>
      <w:u w:val="none"/>
    </w:rPr>
  </w:style>
  <w:style w:type="character" w:styleId="9">
    <w:name w:val="HTML Definition"/>
    <w:basedOn w:val="6"/>
    <w:qFormat/>
    <w:uiPriority w:val="0"/>
    <w:rPr>
      <w:i/>
      <w:iCs/>
    </w:rPr>
  </w:style>
  <w:style w:type="character" w:styleId="10">
    <w:name w:val="Hyperlink"/>
    <w:basedOn w:val="6"/>
    <w:qFormat/>
    <w:uiPriority w:val="0"/>
    <w:rPr>
      <w:color w:val="333333"/>
      <w:u w:val="none"/>
    </w:rPr>
  </w:style>
  <w:style w:type="character" w:styleId="11">
    <w:name w:val="HTML Code"/>
    <w:basedOn w:val="6"/>
    <w:qFormat/>
    <w:uiPriority w:val="0"/>
    <w:rPr>
      <w:rFonts w:ascii="Consolas" w:hAnsi="Consolas" w:eastAsia="Consolas" w:cs="Consolas"/>
      <w:color w:val="C7254E"/>
      <w:sz w:val="21"/>
      <w:szCs w:val="21"/>
      <w:shd w:val="clear" w:fill="F9F2F4"/>
    </w:rPr>
  </w:style>
  <w:style w:type="character" w:styleId="12">
    <w:name w:val="HTML Keyboard"/>
    <w:basedOn w:val="6"/>
    <w:qFormat/>
    <w:uiPriority w:val="0"/>
    <w:rPr>
      <w:rFonts w:hint="default" w:ascii="Consolas" w:hAnsi="Consolas" w:eastAsia="Consolas" w:cs="Consolas"/>
      <w:color w:val="FFFFFF"/>
      <w:sz w:val="21"/>
      <w:szCs w:val="21"/>
      <w:shd w:val="clear" w:fill="333333"/>
    </w:rPr>
  </w:style>
  <w:style w:type="character" w:styleId="13">
    <w:name w:val="HTML Sample"/>
    <w:basedOn w:val="6"/>
    <w:qFormat/>
    <w:uiPriority w:val="0"/>
    <w:rPr>
      <w:rFonts w:hint="default" w:ascii="Consolas" w:hAnsi="Consolas" w:eastAsia="Consolas" w:cs="Consolas"/>
      <w:sz w:val="21"/>
      <w:szCs w:val="21"/>
    </w:rPr>
  </w:style>
  <w:style w:type="character" w:customStyle="1" w:styleId="14">
    <w:name w:val="Body text|1_"/>
    <w:basedOn w:val="6"/>
    <w:link w:val="15"/>
    <w:qFormat/>
    <w:uiPriority w:val="0"/>
    <w:rPr>
      <w:rFonts w:ascii="宋体" w:hAnsi="宋体" w:eastAsia="宋体" w:cs="宋体"/>
      <w:sz w:val="30"/>
      <w:szCs w:val="30"/>
      <w:u w:val="none"/>
      <w:shd w:val="clear" w:color="auto" w:fill="auto"/>
      <w:lang w:val="zh-TW" w:eastAsia="zh-TW" w:bidi="zh-TW"/>
    </w:rPr>
  </w:style>
  <w:style w:type="paragraph" w:customStyle="1" w:styleId="15">
    <w:name w:val="Body text|1"/>
    <w:basedOn w:val="1"/>
    <w:link w:val="14"/>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6">
    <w:name w:val="Header or footer|2_"/>
    <w:basedOn w:val="6"/>
    <w:link w:val="17"/>
    <w:qFormat/>
    <w:uiPriority w:val="0"/>
    <w:rPr>
      <w:sz w:val="20"/>
      <w:szCs w:val="20"/>
      <w:u w:val="none"/>
      <w:shd w:val="clear" w:color="auto" w:fill="auto"/>
      <w:lang w:val="zh-TW" w:eastAsia="zh-TW" w:bidi="zh-TW"/>
    </w:rPr>
  </w:style>
  <w:style w:type="paragraph" w:customStyle="1" w:styleId="17">
    <w:name w:val="Header or footer|2"/>
    <w:basedOn w:val="1"/>
    <w:link w:val="16"/>
    <w:qFormat/>
    <w:uiPriority w:val="0"/>
    <w:pPr>
      <w:widowControl w:val="0"/>
      <w:shd w:val="clear" w:color="auto" w:fill="auto"/>
    </w:pPr>
    <w:rPr>
      <w:sz w:val="20"/>
      <w:szCs w:val="20"/>
      <w:u w:val="none"/>
      <w:shd w:val="clear" w:color="auto" w:fill="auto"/>
      <w:lang w:val="zh-TW" w:eastAsia="zh-TW" w:bidi="zh-TW"/>
    </w:rPr>
  </w:style>
  <w:style w:type="character" w:customStyle="1" w:styleId="18">
    <w:name w:val="Heading #1|1_"/>
    <w:basedOn w:val="6"/>
    <w:link w:val="19"/>
    <w:qFormat/>
    <w:uiPriority w:val="0"/>
    <w:rPr>
      <w:rFonts w:ascii="宋体" w:hAnsi="宋体" w:eastAsia="宋体" w:cs="宋体"/>
      <w:sz w:val="34"/>
      <w:szCs w:val="34"/>
      <w:u w:val="none"/>
      <w:shd w:val="clear" w:color="auto" w:fill="FFFFFF"/>
      <w:lang w:val="zh-TW" w:eastAsia="zh-TW" w:bidi="zh-TW"/>
    </w:rPr>
  </w:style>
  <w:style w:type="paragraph" w:customStyle="1" w:styleId="19">
    <w:name w:val="Heading #1|1"/>
    <w:basedOn w:val="1"/>
    <w:link w:val="18"/>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20">
    <w:name w:val="Header or footer|1_"/>
    <w:basedOn w:val="6"/>
    <w:link w:val="21"/>
    <w:qFormat/>
    <w:uiPriority w:val="0"/>
    <w:rPr>
      <w:sz w:val="17"/>
      <w:szCs w:val="17"/>
      <w:u w:val="none"/>
      <w:shd w:val="clear" w:color="auto" w:fill="auto"/>
      <w:lang w:val="zh-TW" w:eastAsia="zh-TW" w:bidi="zh-TW"/>
    </w:rPr>
  </w:style>
  <w:style w:type="paragraph" w:customStyle="1" w:styleId="21">
    <w:name w:val="Header or footer|1"/>
    <w:basedOn w:val="1"/>
    <w:link w:val="20"/>
    <w:qFormat/>
    <w:uiPriority w:val="0"/>
    <w:pPr>
      <w:widowControl w:val="0"/>
      <w:shd w:val="clear" w:color="auto" w:fill="auto"/>
    </w:pPr>
    <w:rPr>
      <w:sz w:val="17"/>
      <w:szCs w:val="17"/>
      <w:u w:val="none"/>
      <w:shd w:val="clear" w:color="auto" w:fill="auto"/>
      <w:lang w:val="zh-TW" w:eastAsia="zh-TW" w:bidi="zh-TW"/>
    </w:rPr>
  </w:style>
  <w:style w:type="character" w:customStyle="1" w:styleId="22">
    <w:name w:val="Table of contents|1_"/>
    <w:basedOn w:val="6"/>
    <w:link w:val="23"/>
    <w:qFormat/>
    <w:uiPriority w:val="0"/>
    <w:rPr>
      <w:rFonts w:ascii="宋体" w:hAnsi="宋体" w:eastAsia="宋体" w:cs="宋体"/>
      <w:sz w:val="30"/>
      <w:szCs w:val="30"/>
      <w:u w:val="none"/>
      <w:shd w:val="clear" w:color="auto" w:fill="auto"/>
      <w:lang w:val="zh-TW" w:eastAsia="zh-TW" w:bidi="zh-TW"/>
    </w:rPr>
  </w:style>
  <w:style w:type="paragraph" w:customStyle="1" w:styleId="23">
    <w:name w:val="Table of contents|1"/>
    <w:basedOn w:val="1"/>
    <w:link w:val="22"/>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4">
    <w:name w:val="zwxxgk_bnt6"/>
    <w:basedOn w:val="6"/>
    <w:qFormat/>
    <w:uiPriority w:val="0"/>
  </w:style>
  <w:style w:type="character" w:customStyle="1" w:styleId="25">
    <w:name w:val="zwxxgk_bnt61"/>
    <w:basedOn w:val="6"/>
    <w:qFormat/>
    <w:uiPriority w:val="0"/>
  </w:style>
  <w:style w:type="character" w:customStyle="1" w:styleId="26">
    <w:name w:val="zwxxgk_bnt62"/>
    <w:basedOn w:val="6"/>
    <w:qFormat/>
    <w:uiPriority w:val="0"/>
  </w:style>
  <w:style w:type="character" w:customStyle="1" w:styleId="27">
    <w:name w:val="zwxxgk_bnt5"/>
    <w:basedOn w:val="6"/>
    <w:qFormat/>
    <w:uiPriority w:val="0"/>
  </w:style>
  <w:style w:type="character" w:customStyle="1" w:styleId="28">
    <w:name w:val="zwxxgk_bnt51"/>
    <w:basedOn w:val="6"/>
    <w:qFormat/>
    <w:uiPriority w:val="0"/>
  </w:style>
  <w:style w:type="character" w:customStyle="1" w:styleId="29">
    <w:name w:val="zwxxgk_bnt52"/>
    <w:basedOn w:val="6"/>
    <w:uiPriority w:val="0"/>
  </w:style>
  <w:style w:type="character" w:customStyle="1" w:styleId="30">
    <w:name w:val="NormalCharacter"/>
    <w:qFormat/>
    <w:uiPriority w:val="0"/>
    <w:rPr>
      <w:rFonts w:eastAsia="宋体"/>
      <w:kern w:val="2"/>
      <w:sz w:val="21"/>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4318</Words>
  <Characters>4943</Characters>
  <TotalTime>0</TotalTime>
  <ScaleCrop>false</ScaleCrop>
  <LinksUpToDate>false</LinksUpToDate>
  <CharactersWithSpaces>4986</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2023-06-07T01:54:22Z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3FB965A942B84C0B8C0D4DECFF396933</vt:lpwstr>
  </property>
</Properties>
</file>