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甘肃东乡经济开发区管理委员会</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44"/>
          <w:szCs w:val="44"/>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贯彻落实县委、县政府重要决策和工作部署，代表县政府对经济开发区实施行政、经济领导；依据法律法规和有关规定，制定经济开发区的管理规定；根据全县经济发展总体规划，编制开发区经济发展、产业发展等专项计划，经县委、县政府批准后组织实施；依据东乡县城市总体规划、控制性详细规划，组织编制经济开发区建设规划，经县政府批准后负责实施；负责经济开发区投融资平台建设和国有资产的经营管理；负责经济开发区招商引资工作，按规定审核、审批入驻工业园区的企业和项目；负责经济开发区经济管理，开展对外经济技术合作；指导协调有关部门派驻经济开发区机构的工作；负责经济开发区土地开发、基础设施建设管理；负责经济开发区环境保护工作，开展项目环境影响报告的审核、批复，办理企业排污、排放申报登记、环境许可证发放和管理工作；负责经济开发区安全生产、社会治安综合治理、计划生育等行政管理工作；负责经济开发区教育、文化、卫生等社会事业管理工作；承办县委、县政府交办的其他事项。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rPr>
          <w:rFonts w:hint="default"/>
          <w:lang w:val="en-US"/>
        </w:rPr>
      </w:pPr>
      <w:r>
        <w:rPr>
          <w:rFonts w:ascii="仿宋" w:hAnsi="仿宋" w:eastAsia="仿宋" w:cs="仿宋"/>
          <w:color w:val="000000"/>
          <w:kern w:val="0"/>
          <w:sz w:val="34"/>
          <w:szCs w:val="34"/>
          <w:lang w:val="en-US" w:eastAsia="zh-CN" w:bidi="ar"/>
        </w:rPr>
        <w:t>(一）</w:t>
      </w:r>
      <w:r>
        <w:rPr>
          <w:rFonts w:hint="eastAsia" w:ascii="仿宋" w:hAnsi="仿宋" w:eastAsia="仿宋" w:cs="仿宋"/>
          <w:color w:val="000000"/>
          <w:kern w:val="0"/>
          <w:sz w:val="34"/>
          <w:szCs w:val="34"/>
          <w:lang w:val="en-US" w:eastAsia="zh-CN" w:bidi="ar"/>
        </w:rPr>
        <w:t>综合</w:t>
      </w:r>
      <w:r>
        <w:rPr>
          <w:rFonts w:ascii="仿宋" w:hAnsi="仿宋" w:eastAsia="仿宋" w:cs="仿宋"/>
          <w:color w:val="000000"/>
          <w:kern w:val="0"/>
          <w:sz w:val="34"/>
          <w:szCs w:val="34"/>
          <w:lang w:val="en-US" w:eastAsia="zh-CN" w:bidi="ar"/>
        </w:rPr>
        <w:t>办公室；（二）</w:t>
      </w:r>
      <w:r>
        <w:rPr>
          <w:rFonts w:hint="eastAsia" w:ascii="仿宋" w:hAnsi="仿宋" w:eastAsia="仿宋" w:cs="仿宋"/>
          <w:color w:val="000000"/>
          <w:kern w:val="0"/>
          <w:sz w:val="34"/>
          <w:szCs w:val="34"/>
          <w:lang w:val="en-US" w:eastAsia="zh-CN" w:bidi="ar"/>
        </w:rPr>
        <w:t>经济发展局</w:t>
      </w:r>
      <w:r>
        <w:rPr>
          <w:rFonts w:ascii="仿宋" w:hAnsi="仿宋" w:eastAsia="仿宋" w:cs="仿宋"/>
          <w:color w:val="000000"/>
          <w:kern w:val="0"/>
          <w:sz w:val="34"/>
          <w:szCs w:val="34"/>
          <w:lang w:val="en-US" w:eastAsia="zh-CN" w:bidi="ar"/>
        </w:rPr>
        <w:t>；（三）规划建设</w:t>
      </w:r>
      <w:r>
        <w:rPr>
          <w:rFonts w:hint="eastAsia" w:ascii="仿宋" w:hAnsi="仿宋" w:eastAsia="仿宋" w:cs="仿宋"/>
          <w:color w:val="000000"/>
          <w:kern w:val="0"/>
          <w:sz w:val="34"/>
          <w:szCs w:val="34"/>
          <w:lang w:val="en-US" w:eastAsia="zh-CN" w:bidi="ar"/>
        </w:rPr>
        <w:t>局；（四）生态环境和应急管理局；（五）综合行政执法局；（六）财政局（挂国有资产管理办公室牌子）。</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r>
        <w:rPr>
          <w:rFonts w:ascii="仿宋_GB2312" w:hAnsi="黑体" w:eastAsia="仿宋_GB2312"/>
          <w:b/>
          <w:sz w:val="44"/>
          <w:szCs w:val="44"/>
        </w:rPr>
        <w:br w:type="textWrapping"/>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numPr>
          <w:ilvl w:val="0"/>
          <w:numId w:val="2"/>
        </w:num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 </w:t>
      </w:r>
    </w:p>
    <w:p>
      <w:pPr>
        <w:tabs>
          <w:tab w:val="left" w:pos="837"/>
        </w:tabs>
        <w:spacing w:line="840" w:lineRule="exact"/>
        <w:jc w:val="left"/>
        <w:rPr>
          <w:rFonts w:hint="eastAsia" w:ascii="仿宋_GB2312" w:hAnsi="黑体" w:eastAsia="仿宋_GB2312"/>
          <w:b/>
          <w:sz w:val="52"/>
          <w:szCs w:val="52"/>
          <w:lang w:eastAsia="zh-CN"/>
        </w:rPr>
      </w:pPr>
    </w:p>
    <w:p>
      <w:pPr>
        <w:spacing w:line="840" w:lineRule="exact"/>
        <w:ind w:firstLine="3132" w:firstLineChars="600"/>
        <w:jc w:val="both"/>
        <w:rPr>
          <w:rFonts w:hint="eastAsia" w:ascii="仿宋_GB2312" w:hAnsi="黑体" w:eastAsia="仿宋_GB2312"/>
          <w:b/>
          <w:sz w:val="52"/>
          <w:szCs w:val="52"/>
        </w:rPr>
      </w:pPr>
    </w:p>
    <w:p>
      <w:pPr>
        <w:spacing w:line="840" w:lineRule="exact"/>
        <w:ind w:firstLine="3132" w:firstLineChars="600"/>
        <w:jc w:val="both"/>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keepNext w:val="0"/>
        <w:keepLines w:val="0"/>
        <w:pageBreakBefore w:val="0"/>
        <w:wordWrap/>
        <w:overflowPunct/>
        <w:topLinePunct w:val="0"/>
        <w:bidi w:val="0"/>
        <w:spacing w:line="640" w:lineRule="exact"/>
        <w:ind w:firstLine="3132" w:firstLineChars="600"/>
        <w:jc w:val="both"/>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keepNext w:val="0"/>
        <w:keepLines w:val="0"/>
        <w:pageBreakBefore w:val="0"/>
        <w:wordWrap/>
        <w:overflowPunct/>
        <w:topLinePunct w:val="0"/>
        <w:bidi w:val="0"/>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keepNext w:val="0"/>
        <w:keepLines w:val="0"/>
        <w:pageBreakBefore w:val="0"/>
        <w:wordWrap/>
        <w:overflowPunct/>
        <w:topLinePunct w:val="0"/>
        <w:bidi w:val="0"/>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w:t>
      </w:r>
      <w:r>
        <w:rPr>
          <w:rFonts w:hint="eastAsia" w:ascii="仿宋" w:hAnsi="仿宋" w:eastAsia="仿宋" w:cs="仿宋"/>
          <w:i w:val="0"/>
          <w:iCs w:val="0"/>
          <w:color w:val="000000"/>
          <w:kern w:val="0"/>
          <w:sz w:val="28"/>
          <w:szCs w:val="28"/>
          <w:u w:val="none"/>
          <w:lang w:val="en-US" w:eastAsia="zh-CN" w:bidi="ar"/>
        </w:rPr>
        <w:t>6551373.65</w:t>
      </w:r>
      <w:r>
        <w:rPr>
          <w:rFonts w:hint="eastAsia" w:ascii="仿宋_GB2312" w:hAnsi="黑体" w:eastAsia="仿宋_GB2312"/>
          <w:sz w:val="32"/>
          <w:szCs w:val="32"/>
        </w:rPr>
        <w:t>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rPr>
        <w:t>977875.65元，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17.55%。</w:t>
      </w:r>
      <w:r>
        <w:rPr>
          <w:rFonts w:hint="eastAsia" w:ascii="仿宋_GB2312" w:hAnsi="黑体" w:eastAsia="仿宋_GB2312"/>
          <w:sz w:val="32"/>
          <w:szCs w:val="32"/>
        </w:rPr>
        <w:t>其中：一般公共预算财政拨款收入</w:t>
      </w:r>
      <w:r>
        <w:rPr>
          <w:rFonts w:hint="eastAsia" w:ascii="仿宋" w:hAnsi="仿宋" w:eastAsia="仿宋" w:cs="仿宋"/>
          <w:i w:val="0"/>
          <w:iCs w:val="0"/>
          <w:color w:val="000000"/>
          <w:kern w:val="0"/>
          <w:sz w:val="28"/>
          <w:szCs w:val="28"/>
          <w:u w:val="none"/>
          <w:lang w:val="en-US" w:eastAsia="zh-CN" w:bidi="ar"/>
        </w:rPr>
        <w:t>6551373.65</w:t>
      </w:r>
      <w:r>
        <w:rPr>
          <w:rFonts w:hint="eastAsia" w:ascii="仿宋_GB2312" w:hAnsi="黑体" w:eastAsia="仿宋_GB2312"/>
          <w:sz w:val="32"/>
          <w:szCs w:val="32"/>
        </w:rPr>
        <w:t>元，</w:t>
      </w:r>
      <w:r>
        <w:rPr>
          <w:rFonts w:hint="eastAsia" w:ascii="仿宋_GB2312" w:hAnsi="宋体" w:eastAsia="仿宋_GB2312"/>
          <w:sz w:val="32"/>
          <w:szCs w:val="32"/>
        </w:rPr>
        <w:t>政府性基金预算财政拨款收入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 w:hAnsi="仿宋" w:eastAsia="仿宋" w:cs="仿宋"/>
          <w:i w:val="0"/>
          <w:iCs w:val="0"/>
          <w:color w:val="000000"/>
          <w:kern w:val="0"/>
          <w:sz w:val="28"/>
          <w:szCs w:val="28"/>
          <w:u w:val="none"/>
          <w:lang w:val="en-US" w:eastAsia="zh-CN" w:bidi="ar"/>
        </w:rPr>
        <w:t>6551373.65</w:t>
      </w:r>
      <w:r>
        <w:rPr>
          <w:rFonts w:hint="eastAsia" w:ascii="仿宋_GB2312" w:hAnsi="宋体" w:eastAsia="仿宋_GB2312"/>
          <w:sz w:val="32"/>
          <w:szCs w:val="32"/>
        </w:rPr>
        <w:t>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rPr>
        <w:t>977875.65元，</w:t>
      </w:r>
      <w:r>
        <w:rPr>
          <w:rFonts w:hint="eastAsia" w:ascii="仿宋_GB2312" w:hAnsi="宋体" w:eastAsia="仿宋_GB2312"/>
          <w:sz w:val="32"/>
          <w:szCs w:val="32"/>
        </w:rPr>
        <w:t>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17.55%，</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rPr>
        <w:t>的主要原因是：</w:t>
      </w:r>
      <w:r>
        <w:rPr>
          <w:rFonts w:hint="eastAsia" w:ascii="仿宋" w:hAnsi="仿宋" w:eastAsia="仿宋" w:cs="仿宋"/>
          <w:sz w:val="32"/>
          <w:szCs w:val="32"/>
          <w:highlight w:val="none"/>
          <w:lang w:eastAsia="zh-CN"/>
        </w:rPr>
        <w:t>卫生健康支出、住房保障支出增加。</w:t>
      </w:r>
    </w:p>
    <w:p>
      <w:pPr>
        <w:keepNext w:val="0"/>
        <w:keepLines w:val="0"/>
        <w:pageBreakBefore w:val="0"/>
        <w:wordWrap/>
        <w:overflowPunct/>
        <w:topLinePunct w:val="0"/>
        <w:bidi w:val="0"/>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keepNext w:val="0"/>
        <w:keepLines w:val="0"/>
        <w:pageBreakBefore w:val="0"/>
        <w:wordWrap/>
        <w:overflowPunct/>
        <w:topLinePunct w:val="0"/>
        <w:bidi w:val="0"/>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一般公共服务支出</w:t>
      </w:r>
      <w:r>
        <w:rPr>
          <w:rFonts w:hint="default" w:ascii="仿宋_GB2312" w:hAnsi="宋体" w:eastAsia="仿宋_GB2312"/>
          <w:sz w:val="32"/>
          <w:szCs w:val="32"/>
          <w:lang w:val="en-US" w:eastAsia="zh-CN"/>
        </w:rPr>
        <w:t>5393342.00</w:t>
      </w:r>
      <w:r>
        <w:rPr>
          <w:rFonts w:hint="eastAsia" w:ascii="仿宋_GB2312" w:hAnsi="宋体" w:eastAsia="仿宋_GB2312"/>
          <w:sz w:val="32"/>
          <w:szCs w:val="32"/>
        </w:rPr>
        <w:t>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6.81%，</w:t>
      </w:r>
      <w:r>
        <w:rPr>
          <w:rFonts w:hint="eastAsia" w:ascii="仿宋" w:hAnsi="仿宋" w:eastAsia="仿宋" w:cs="仿宋"/>
          <w:sz w:val="32"/>
          <w:szCs w:val="32"/>
          <w:highlight w:val="none"/>
          <w:lang w:val="en-US" w:eastAsia="zh-CN"/>
        </w:rPr>
        <w:t>主要原因是：</w:t>
      </w:r>
      <w:r>
        <w:rPr>
          <w:rFonts w:hint="eastAsia" w:ascii="仿宋" w:hAnsi="仿宋" w:eastAsia="仿宋" w:cs="仿宋"/>
          <w:sz w:val="32"/>
          <w:szCs w:val="32"/>
          <w:lang w:eastAsia="zh-CN"/>
        </w:rPr>
        <w:t>各项支出按实际发放预算相应增加。</w:t>
      </w:r>
    </w:p>
    <w:p>
      <w:pPr>
        <w:keepNext w:val="0"/>
        <w:keepLines w:val="0"/>
        <w:pageBreakBefore w:val="0"/>
        <w:wordWrap/>
        <w:overflowPunct/>
        <w:topLinePunct w:val="0"/>
        <w:bidi w:val="0"/>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社会保障和就业支出</w:t>
      </w:r>
      <w:r>
        <w:rPr>
          <w:rFonts w:hint="default" w:ascii="仿宋_GB2312" w:hAnsi="宋体" w:eastAsia="仿宋_GB2312"/>
          <w:sz w:val="32"/>
          <w:szCs w:val="32"/>
          <w:lang w:val="en-US" w:eastAsia="zh-CN"/>
        </w:rPr>
        <w:t>538317.90</w:t>
      </w:r>
      <w:r>
        <w:rPr>
          <w:rFonts w:hint="eastAsia" w:ascii="仿宋_GB2312" w:hAnsi="宋体" w:eastAsia="仿宋_GB2312"/>
          <w:sz w:val="32"/>
          <w:szCs w:val="32"/>
        </w:rPr>
        <w:t>元</w:t>
      </w:r>
      <w:r>
        <w:rPr>
          <w:rFonts w:hint="eastAsia" w:ascii="仿宋_GB2312" w:hAnsi="宋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2.77%，</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keepNext w:val="0"/>
        <w:keepLines w:val="0"/>
        <w:pageBreakBefore w:val="0"/>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卫生健康支出220959.75</w:t>
      </w:r>
      <w:r>
        <w:rPr>
          <w:rFonts w:hint="eastAsia" w:ascii="仿宋_GB2312" w:hAnsi="宋体" w:eastAsia="仿宋_GB2312"/>
          <w:sz w:val="32"/>
          <w:szCs w:val="32"/>
          <w:lang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黑体" w:eastAsia="仿宋_GB2312"/>
          <w:sz w:val="32"/>
          <w:szCs w:val="32"/>
          <w:highlight w:val="none"/>
          <w:lang w:eastAsia="zh-CN"/>
        </w:rPr>
        <w:t>主要原因是卫生健康支出列入单位预算。</w:t>
      </w:r>
    </w:p>
    <w:p>
      <w:pPr>
        <w:keepNext w:val="0"/>
        <w:keepLines w:val="0"/>
        <w:pageBreakBefore w:val="0"/>
        <w:wordWrap/>
        <w:overflowPunct/>
        <w:topLinePunct w:val="0"/>
        <w:bidi w:val="0"/>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住房保障支出398754.00</w:t>
      </w:r>
      <w:r>
        <w:rPr>
          <w:rFonts w:hint="eastAsia" w:ascii="仿宋_GB2312" w:hAnsi="宋体" w:eastAsia="仿宋_GB2312"/>
          <w:sz w:val="32"/>
          <w:szCs w:val="32"/>
          <w:lang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仿宋_GB2312" w:eastAsia="仿宋_GB2312" w:cs="仿宋_GB2312"/>
          <w:sz w:val="32"/>
          <w:szCs w:val="32"/>
          <w:highlight w:val="none"/>
          <w:lang w:eastAsia="zh-CN"/>
        </w:rPr>
        <w:t>主要原因是住房公积金列入单位预算</w:t>
      </w:r>
      <w:r>
        <w:rPr>
          <w:rFonts w:hint="eastAsia" w:ascii="仿宋_GB2312" w:hAnsi="黑体" w:eastAsia="仿宋_GB2312"/>
          <w:sz w:val="32"/>
          <w:szCs w:val="32"/>
          <w:highlight w:val="none"/>
          <w:lang w:eastAsia="zh-CN"/>
        </w:rPr>
        <w:t>。</w:t>
      </w:r>
    </w:p>
    <w:p>
      <w:pPr>
        <w:keepNext w:val="0"/>
        <w:keepLines w:val="0"/>
        <w:pageBreakBefore w:val="0"/>
        <w:wordWrap/>
        <w:overflowPunct/>
        <w:topLinePunct w:val="0"/>
        <w:bidi w:val="0"/>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keepNext w:val="0"/>
        <w:keepLines w:val="0"/>
        <w:pageBreakBefore w:val="0"/>
        <w:wordWrap/>
        <w:overflowPunct/>
        <w:topLinePunct w:val="0"/>
        <w:bidi w:val="0"/>
        <w:spacing w:line="640" w:lineRule="exact"/>
        <w:ind w:firstLine="643" w:firstLineChars="200"/>
        <w:rPr>
          <w:rFonts w:hint="eastAsia" w:ascii="仿宋" w:hAnsi="仿宋" w:eastAsia="仿宋" w:cs="仿宋"/>
          <w:sz w:val="32"/>
          <w:szCs w:val="32"/>
          <w:lang w:val="en-US" w:eastAsia="zh-CN"/>
        </w:rPr>
      </w:pPr>
      <w:r>
        <w:rPr>
          <w:rFonts w:hint="eastAsia" w:ascii="楷体_GB2312" w:hAnsi="黑体" w:eastAsia="楷体_GB2312"/>
          <w:b/>
          <w:sz w:val="32"/>
          <w:szCs w:val="32"/>
        </w:rPr>
        <w:t>（一）一般公共服务支出</w:t>
      </w: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类</w:t>
      </w:r>
      <w:r>
        <w:rPr>
          <w:rFonts w:hint="eastAsia" w:ascii="楷体_GB2312" w:hAnsi="黑体" w:eastAsia="楷体_GB2312"/>
          <w:b/>
          <w:sz w:val="32"/>
          <w:szCs w:val="32"/>
          <w:lang w:eastAsia="zh-CN"/>
        </w:rPr>
        <w:t>）</w:t>
      </w:r>
      <w:r>
        <w:rPr>
          <w:rFonts w:hint="eastAsia" w:ascii="仿宋_GB2312" w:hAnsi="黑体" w:eastAsia="仿宋_GB2312"/>
          <w:sz w:val="32"/>
          <w:szCs w:val="32"/>
          <w:lang w:val="en-US" w:eastAsia="zh-CN"/>
        </w:rPr>
        <w:t>2022年预算支出5393342.00元，比上年预算数增长6.81%。</w:t>
      </w:r>
      <w:r>
        <w:rPr>
          <w:rFonts w:hint="eastAsia" w:ascii="仿宋" w:hAnsi="仿宋" w:eastAsia="仿宋" w:cs="仿宋"/>
          <w:sz w:val="32"/>
          <w:szCs w:val="32"/>
          <w:highlight w:val="none"/>
          <w:lang w:val="en-US" w:eastAsia="zh-CN"/>
        </w:rPr>
        <w:t>主要原因是：</w:t>
      </w:r>
      <w:r>
        <w:rPr>
          <w:rFonts w:hint="eastAsia" w:ascii="仿宋" w:hAnsi="仿宋" w:eastAsia="仿宋" w:cs="仿宋"/>
          <w:sz w:val="32"/>
          <w:szCs w:val="32"/>
          <w:lang w:eastAsia="zh-CN"/>
        </w:rPr>
        <w:t>各项支出按实际发放预算相应增加。</w:t>
      </w: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252600.00元，其中：</w:t>
      </w:r>
      <w:r>
        <w:rPr>
          <w:rFonts w:hint="eastAsia" w:ascii="仿宋_GB2312" w:hAnsi="宋体" w:eastAsia="仿宋_GB2312"/>
          <w:b/>
          <w:bCs/>
          <w:sz w:val="32"/>
          <w:szCs w:val="32"/>
          <w:highlight w:val="none"/>
          <w:lang w:eastAsia="zh-CN"/>
        </w:rPr>
        <w:t>行政运支出（项）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252600.00</w:t>
      </w:r>
      <w:r>
        <w:rPr>
          <w:rFonts w:hint="eastAsia" w:ascii="仿宋_GB2312" w:hAnsi="宋体" w:eastAsia="仿宋_GB2312"/>
          <w:sz w:val="32"/>
          <w:szCs w:val="32"/>
          <w:highlight w:val="none"/>
          <w:lang w:eastAsia="zh-CN"/>
        </w:rPr>
        <w:t>元，较上年增加</w:t>
      </w:r>
      <w:r>
        <w:rPr>
          <w:rFonts w:hint="eastAsia" w:ascii="仿宋_GB2312" w:hAnsi="宋体" w:eastAsia="仿宋_GB2312"/>
          <w:sz w:val="32"/>
          <w:szCs w:val="32"/>
          <w:highlight w:val="none"/>
          <w:lang w:val="en-US" w:eastAsia="zh-CN"/>
        </w:rPr>
        <w:t>100%，增加原因：上年无此项</w:t>
      </w:r>
      <w:r>
        <w:rPr>
          <w:rFonts w:hint="eastAsia" w:ascii="仿宋_GB2312" w:hAnsi="宋体" w:eastAsia="仿宋_GB2312"/>
          <w:sz w:val="32"/>
          <w:szCs w:val="32"/>
          <w:highlight w:val="none"/>
          <w:lang w:eastAsia="zh-CN"/>
        </w:rPr>
        <w:t>；</w:t>
      </w:r>
      <w:r>
        <w:rPr>
          <w:rFonts w:hint="eastAsia" w:ascii="仿宋_GB2312" w:hAnsi="宋体" w:eastAsia="仿宋_GB2312"/>
          <w:b/>
          <w:bCs/>
          <w:sz w:val="32"/>
          <w:szCs w:val="32"/>
          <w:highlight w:val="none"/>
          <w:lang w:eastAsia="zh-CN"/>
        </w:rPr>
        <w:t>发展与改革事务（款）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5074283元，其中：</w:t>
      </w:r>
      <w:r>
        <w:rPr>
          <w:rFonts w:hint="eastAsia" w:ascii="仿宋_GB2312" w:hAnsi="宋体" w:eastAsia="仿宋_GB2312"/>
          <w:b/>
          <w:bCs/>
          <w:sz w:val="32"/>
          <w:szCs w:val="32"/>
          <w:highlight w:val="none"/>
          <w:lang w:eastAsia="zh-CN"/>
        </w:rPr>
        <w:t>行政运支出（项）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5074283</w:t>
      </w:r>
      <w:r>
        <w:rPr>
          <w:rFonts w:hint="eastAsia" w:ascii="仿宋_GB2312" w:hAnsi="宋体" w:eastAsia="仿宋_GB2312"/>
          <w:sz w:val="32"/>
          <w:szCs w:val="32"/>
          <w:highlight w:val="none"/>
          <w:lang w:eastAsia="zh-CN"/>
        </w:rPr>
        <w:t>元，较上年增加</w:t>
      </w:r>
      <w:r>
        <w:rPr>
          <w:rFonts w:hint="eastAsia" w:ascii="仿宋_GB2312" w:hAnsi="宋体" w:eastAsia="仿宋_GB2312"/>
          <w:sz w:val="32"/>
          <w:szCs w:val="32"/>
          <w:highlight w:val="none"/>
          <w:lang w:val="en-US" w:eastAsia="zh-CN"/>
        </w:rPr>
        <w:t>0.14%，增加原因：项目增加</w:t>
      </w:r>
      <w:r>
        <w:rPr>
          <w:rFonts w:hint="eastAsia" w:ascii="仿宋_GB2312" w:hAnsi="宋体" w:eastAsia="仿宋_GB2312"/>
          <w:sz w:val="32"/>
          <w:szCs w:val="32"/>
          <w:highlight w:val="none"/>
          <w:lang w:eastAsia="zh-CN"/>
        </w:rPr>
        <w:t>；</w:t>
      </w: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66459.00</w:t>
      </w:r>
      <w:r>
        <w:rPr>
          <w:rFonts w:hint="eastAsia" w:ascii="仿宋_GB2312" w:hAnsi="宋体" w:eastAsia="仿宋_GB2312"/>
          <w:sz w:val="32"/>
          <w:szCs w:val="32"/>
          <w:highlight w:val="none"/>
          <w:lang w:eastAsia="zh-CN"/>
        </w:rPr>
        <w:t>元，其中：</w:t>
      </w:r>
      <w:r>
        <w:rPr>
          <w:rFonts w:hint="eastAsia" w:ascii="仿宋_GB2312" w:hAnsi="宋体" w:eastAsia="仿宋_GB2312"/>
          <w:b/>
          <w:bCs/>
          <w:sz w:val="32"/>
          <w:szCs w:val="32"/>
          <w:highlight w:val="none"/>
          <w:lang w:eastAsia="zh-CN"/>
        </w:rPr>
        <w:t>工会事务支出（项）</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66459.00</w:t>
      </w:r>
      <w:r>
        <w:rPr>
          <w:rFonts w:hint="eastAsia" w:ascii="仿宋_GB2312" w:hAnsi="宋体" w:eastAsia="仿宋_GB2312"/>
          <w:sz w:val="32"/>
          <w:szCs w:val="32"/>
          <w:highlight w:val="none"/>
          <w:lang w:eastAsia="zh-CN"/>
        </w:rPr>
        <w:t>元，较上年</w:t>
      </w:r>
      <w:r>
        <w:rPr>
          <w:rFonts w:hint="eastAsia" w:ascii="仿宋_GB2312" w:hAnsi="宋体" w:eastAsia="仿宋_GB2312"/>
          <w:sz w:val="32"/>
          <w:szCs w:val="32"/>
          <w:highlight w:val="none"/>
          <w:lang w:val="en-US" w:eastAsia="zh-CN"/>
        </w:rPr>
        <w:t>增加51.79%，原因是工会经费增加</w:t>
      </w:r>
      <w:r>
        <w:rPr>
          <w:rFonts w:hint="eastAsia" w:ascii="仿宋_GB2312" w:hAnsi="宋体" w:eastAsia="仿宋_GB2312"/>
          <w:sz w:val="32"/>
          <w:szCs w:val="32"/>
          <w:highlight w:val="none"/>
          <w:lang w:eastAsia="zh-CN"/>
        </w:rPr>
        <w:t>。</w:t>
      </w:r>
    </w:p>
    <w:p>
      <w:pPr>
        <w:keepNext w:val="0"/>
        <w:keepLines w:val="0"/>
        <w:pageBreakBefore w:val="0"/>
        <w:numPr>
          <w:numId w:val="0"/>
        </w:numPr>
        <w:wordWrap/>
        <w:overflowPunct/>
        <w:topLinePunct w:val="0"/>
        <w:bidi w:val="0"/>
        <w:spacing w:line="640" w:lineRule="exact"/>
        <w:ind w:firstLine="643" w:firstLineChars="200"/>
        <w:rPr>
          <w:rFonts w:hint="eastAsia" w:ascii="仿宋" w:hAnsi="仿宋" w:eastAsia="仿宋" w:cs="仿宋"/>
          <w:spacing w:val="-1"/>
          <w:sz w:val="32"/>
          <w:szCs w:val="32"/>
          <w:lang w:val="en-US" w:eastAsia="zh-CN"/>
        </w:rPr>
      </w:pP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二</w:t>
      </w:r>
      <w:r>
        <w:rPr>
          <w:rFonts w:hint="eastAsia" w:ascii="仿宋_GB2312" w:hAnsi="黑体" w:eastAsia="仿宋_GB2312"/>
          <w:b/>
          <w:sz w:val="32"/>
          <w:szCs w:val="32"/>
          <w:lang w:eastAsia="zh-CN"/>
        </w:rPr>
        <w:t>）</w:t>
      </w:r>
      <w:r>
        <w:rPr>
          <w:rFonts w:hint="eastAsia" w:ascii="仿宋_GB2312" w:hAnsi="黑体" w:eastAsia="仿宋_GB2312"/>
          <w:b/>
          <w:sz w:val="32"/>
          <w:szCs w:val="32"/>
        </w:rPr>
        <w:t>社会保障和就业支出</w:t>
      </w: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类</w:t>
      </w:r>
      <w:r>
        <w:rPr>
          <w:rFonts w:hint="eastAsia" w:ascii="仿宋_GB2312" w:hAnsi="黑体" w:eastAsia="仿宋_GB2312"/>
          <w:b/>
          <w:sz w:val="32"/>
          <w:szCs w:val="32"/>
          <w:lang w:eastAsia="zh-CN"/>
        </w:rPr>
        <w:t>）</w:t>
      </w:r>
      <w:r>
        <w:rPr>
          <w:rFonts w:hint="eastAsia" w:ascii="仿宋_GB2312" w:hAnsi="黑体" w:eastAsia="仿宋_GB2312"/>
          <w:sz w:val="32"/>
          <w:szCs w:val="32"/>
          <w:lang w:val="en-US" w:eastAsia="zh-CN"/>
        </w:rPr>
        <w:t>2022年预算支出</w:t>
      </w:r>
      <w:r>
        <w:rPr>
          <w:rFonts w:hint="default" w:ascii="仿宋_GB2312" w:hAnsi="宋体" w:eastAsia="仿宋_GB2312"/>
          <w:sz w:val="32"/>
          <w:szCs w:val="32"/>
          <w:lang w:val="en-US" w:eastAsia="zh-CN"/>
        </w:rPr>
        <w:t>538317.90</w:t>
      </w:r>
      <w:r>
        <w:rPr>
          <w:rFonts w:hint="eastAsia" w:ascii="仿宋_GB2312" w:hAnsi="黑体" w:eastAsia="仿宋_GB2312"/>
          <w:sz w:val="32"/>
          <w:szCs w:val="32"/>
          <w:lang w:val="en-US" w:eastAsia="zh-CN"/>
        </w:rPr>
        <w:t>元，比上年预算数增长2.77%。</w:t>
      </w:r>
      <w:r>
        <w:rPr>
          <w:rFonts w:hint="eastAsia" w:ascii="仿宋" w:hAnsi="仿宋" w:eastAsia="仿宋" w:cs="仿宋"/>
          <w:spacing w:val="-1"/>
          <w:sz w:val="32"/>
          <w:szCs w:val="32"/>
          <w:lang w:eastAsia="zh-CN"/>
        </w:rPr>
        <w:t>主要原因是人员增加。</w:t>
      </w:r>
      <w:r>
        <w:rPr>
          <w:rFonts w:hint="eastAsia" w:ascii="仿宋_GB2312" w:hAnsi="黑体" w:eastAsia="仿宋_GB2312"/>
          <w:b/>
          <w:bCs/>
          <w:sz w:val="32"/>
          <w:szCs w:val="32"/>
          <w:highlight w:val="none"/>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2022年预算支出531672.00元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bCs/>
          <w:sz w:val="32"/>
          <w:szCs w:val="32"/>
          <w:highlight w:val="none"/>
        </w:rPr>
        <w:t>机关事业单位基本养老保险缴费支出</w:t>
      </w:r>
      <w:r>
        <w:rPr>
          <w:rFonts w:hint="eastAsia" w:ascii="仿宋_GB2312" w:hAnsi="宋体" w:eastAsia="仿宋_GB2312"/>
          <w:b/>
          <w:bCs/>
          <w:sz w:val="32"/>
          <w:szCs w:val="32"/>
          <w:highlight w:val="none"/>
          <w:lang w:eastAsia="zh-CN"/>
        </w:rPr>
        <w:t>（项）</w:t>
      </w:r>
      <w:r>
        <w:rPr>
          <w:rFonts w:hint="eastAsia" w:ascii="仿宋_GB2312" w:hAnsi="黑体" w:eastAsia="仿宋_GB2312"/>
          <w:sz w:val="32"/>
          <w:szCs w:val="32"/>
          <w:highlight w:val="none"/>
        </w:rPr>
        <w:t>2022年预算支出531672.00元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6645.90元，其中：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val="en-US" w:eastAsia="zh-CN"/>
        </w:rPr>
        <w:t>6645.90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keepNext w:val="0"/>
        <w:keepLines w:val="0"/>
        <w:pageBreakBefore w:val="0"/>
        <w:numPr>
          <w:numId w:val="0"/>
        </w:numPr>
        <w:wordWrap/>
        <w:overflowPunct/>
        <w:topLinePunct w:val="0"/>
        <w:bidi w:val="0"/>
        <w:spacing w:line="640" w:lineRule="exact"/>
        <w:ind w:firstLine="643" w:firstLineChars="200"/>
        <w:rPr>
          <w:rFonts w:hint="eastAsia" w:ascii="仿宋" w:hAnsi="仿宋" w:eastAsia="仿宋" w:cs="仿宋"/>
          <w:sz w:val="32"/>
          <w:szCs w:val="32"/>
          <w:highlight w:val="none"/>
          <w:lang w:eastAsia="zh-CN"/>
        </w:rPr>
      </w:pP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三</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卫生健康支出</w:t>
      </w: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类</w:t>
      </w:r>
      <w:r>
        <w:rPr>
          <w:rFonts w:hint="eastAsia" w:ascii="仿宋_GB2312" w:hAnsi="宋体" w:eastAsia="仿宋_GB2312"/>
          <w:b/>
          <w:bCs/>
          <w:sz w:val="32"/>
          <w:szCs w:val="32"/>
          <w:lang w:eastAsia="zh-CN"/>
        </w:rPr>
        <w:t>）</w:t>
      </w:r>
      <w:r>
        <w:rPr>
          <w:rFonts w:hint="eastAsia" w:ascii="仿宋_GB2312" w:hAnsi="黑体" w:eastAsia="仿宋_GB2312"/>
          <w:sz w:val="32"/>
          <w:szCs w:val="32"/>
          <w:lang w:val="en-US" w:eastAsia="zh-CN"/>
        </w:rPr>
        <w:t>2022年预算支出</w:t>
      </w:r>
      <w:r>
        <w:rPr>
          <w:rFonts w:hint="eastAsia" w:ascii="仿宋_GB2312" w:hAnsi="宋体" w:eastAsia="仿宋_GB2312"/>
          <w:sz w:val="32"/>
          <w:szCs w:val="32"/>
        </w:rPr>
        <w:t>220959.75</w:t>
      </w:r>
      <w:r>
        <w:rPr>
          <w:rFonts w:hint="eastAsia" w:ascii="仿宋_GB2312" w:hAnsi="宋体" w:eastAsia="仿宋_GB2312"/>
          <w:sz w:val="32"/>
          <w:szCs w:val="32"/>
          <w:lang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 w:hAnsi="仿宋" w:eastAsia="仿宋" w:cs="仿宋"/>
          <w:sz w:val="32"/>
          <w:szCs w:val="32"/>
          <w:highlight w:val="none"/>
          <w:lang w:eastAsia="zh-CN"/>
        </w:rPr>
        <w:t>主</w:t>
      </w:r>
      <w:r>
        <w:rPr>
          <w:rFonts w:hint="eastAsia" w:ascii="仿宋" w:hAnsi="仿宋" w:eastAsia="仿宋" w:cs="仿宋"/>
          <w:spacing w:val="-1"/>
          <w:sz w:val="32"/>
          <w:szCs w:val="32"/>
          <w:lang w:eastAsia="zh-CN"/>
        </w:rPr>
        <w:t>要</w:t>
      </w:r>
      <w:r>
        <w:rPr>
          <w:rFonts w:hint="eastAsia" w:ascii="仿宋" w:hAnsi="仿宋" w:eastAsia="仿宋" w:cs="仿宋"/>
          <w:spacing w:val="-1"/>
          <w:sz w:val="32"/>
          <w:szCs w:val="32"/>
          <w:lang w:val="en-US" w:eastAsia="zh-CN"/>
        </w:rPr>
        <w:t>原</w:t>
      </w:r>
      <w:r>
        <w:rPr>
          <w:rFonts w:hint="eastAsia" w:ascii="仿宋" w:hAnsi="仿宋" w:eastAsia="仿宋" w:cs="仿宋"/>
          <w:spacing w:val="-1"/>
          <w:sz w:val="32"/>
          <w:szCs w:val="32"/>
          <w:lang w:eastAsia="zh-CN"/>
        </w:rPr>
        <w:t>因是卫生健康支出列入单位预算。</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lang w:val="en-US" w:eastAsia="zh-CN"/>
        </w:rPr>
        <w:t>2022年预算支出</w:t>
      </w:r>
      <w:r>
        <w:rPr>
          <w:rFonts w:hint="eastAsia" w:ascii="仿宋_GB2312" w:hAnsi="黑体" w:eastAsia="仿宋_GB2312"/>
          <w:sz w:val="32"/>
          <w:szCs w:val="32"/>
          <w:highlight w:val="none"/>
          <w:lang w:val="en-US" w:eastAsia="zh-CN"/>
        </w:rPr>
        <w:t>220959.75</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lang w:val="en-US" w:eastAsia="zh-CN"/>
        </w:rPr>
        <w:t>2022年预算支出</w:t>
      </w:r>
      <w:r>
        <w:rPr>
          <w:rFonts w:hint="eastAsia" w:ascii="仿宋_GB2312" w:hAnsi="黑体" w:eastAsia="仿宋_GB2312"/>
          <w:sz w:val="32"/>
          <w:szCs w:val="32"/>
          <w:highlight w:val="none"/>
          <w:lang w:val="en-US" w:eastAsia="zh-CN"/>
        </w:rPr>
        <w:t>220959.75</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keepNext w:val="0"/>
        <w:keepLines w:val="0"/>
        <w:pageBreakBefore w:val="0"/>
        <w:widowControl/>
        <w:numPr>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 w:hAnsi="仿宋" w:eastAsia="仿宋" w:cs="仿宋"/>
          <w:sz w:val="32"/>
          <w:szCs w:val="32"/>
          <w:highlight w:val="none"/>
          <w:lang w:eastAsia="zh-CN"/>
        </w:rPr>
      </w:pP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四</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住房保障支出</w:t>
      </w:r>
      <w:r>
        <w:rPr>
          <w:rFonts w:hint="eastAsia" w:ascii="仿宋_GB2312" w:hAnsi="宋体" w:eastAsia="仿宋_GB2312"/>
          <w:b/>
          <w:bCs/>
          <w:sz w:val="32"/>
          <w:szCs w:val="32"/>
          <w:lang w:eastAsia="zh-CN"/>
        </w:rPr>
        <w:t>（</w:t>
      </w:r>
      <w:r>
        <w:rPr>
          <w:rFonts w:hint="eastAsia" w:ascii="仿宋_GB2312" w:hAnsi="宋体" w:eastAsia="仿宋_GB2312"/>
          <w:b/>
          <w:bCs/>
          <w:sz w:val="32"/>
          <w:szCs w:val="32"/>
          <w:lang w:val="en-US" w:eastAsia="zh-CN"/>
        </w:rPr>
        <w:t>类</w:t>
      </w:r>
      <w:r>
        <w:rPr>
          <w:rFonts w:hint="eastAsia" w:ascii="仿宋_GB2312" w:hAnsi="宋体" w:eastAsia="仿宋_GB2312"/>
          <w:b/>
          <w:bCs/>
          <w:sz w:val="32"/>
          <w:szCs w:val="32"/>
          <w:lang w:eastAsia="zh-CN"/>
        </w:rPr>
        <w:t>）</w:t>
      </w:r>
      <w:r>
        <w:rPr>
          <w:rFonts w:hint="eastAsia" w:ascii="仿宋_GB2312" w:hAnsi="黑体" w:eastAsia="仿宋_GB2312"/>
          <w:sz w:val="32"/>
          <w:szCs w:val="32"/>
          <w:lang w:val="en-US" w:eastAsia="zh-CN"/>
        </w:rPr>
        <w:t>2022年预算支出</w:t>
      </w:r>
      <w:r>
        <w:rPr>
          <w:rFonts w:hint="eastAsia" w:ascii="仿宋_GB2312" w:hAnsi="宋体" w:eastAsia="仿宋_GB2312"/>
          <w:sz w:val="32"/>
          <w:szCs w:val="32"/>
        </w:rPr>
        <w:t>398754.00</w:t>
      </w:r>
      <w:r>
        <w:rPr>
          <w:rFonts w:hint="eastAsia" w:ascii="仿宋_GB2312" w:hAnsi="宋体" w:eastAsia="仿宋_GB2312"/>
          <w:sz w:val="32"/>
          <w:szCs w:val="32"/>
          <w:lang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 w:hAnsi="仿宋" w:eastAsia="仿宋" w:cs="仿宋"/>
          <w:sz w:val="32"/>
          <w:szCs w:val="32"/>
          <w:highlight w:val="none"/>
          <w:lang w:eastAsia="zh-CN"/>
        </w:rPr>
        <w:t>主要原因是住房公积金列入单位预算。</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lang w:val="en-US" w:eastAsia="zh-CN"/>
        </w:rPr>
        <w:t>2022年预算支出</w:t>
      </w:r>
      <w:r>
        <w:rPr>
          <w:rFonts w:hint="eastAsia" w:ascii="仿宋_GB2312" w:hAnsi="黑体" w:eastAsia="仿宋_GB2312"/>
          <w:sz w:val="32"/>
          <w:szCs w:val="32"/>
          <w:highlight w:val="none"/>
          <w:lang w:val="en-US" w:eastAsia="zh-CN"/>
        </w:rPr>
        <w:t>398754.00</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lang w:val="en-US" w:eastAsia="zh-CN"/>
        </w:rPr>
        <w:t>2022年预算支出</w:t>
      </w:r>
      <w:r>
        <w:rPr>
          <w:rFonts w:hint="eastAsia" w:ascii="仿宋_GB2312" w:hAnsi="黑体" w:eastAsia="仿宋_GB2312"/>
          <w:sz w:val="32"/>
          <w:szCs w:val="32"/>
          <w:highlight w:val="none"/>
          <w:lang w:val="en-US" w:eastAsia="zh-CN"/>
        </w:rPr>
        <w:t>398754.00</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keepNext w:val="0"/>
        <w:keepLines w:val="0"/>
        <w:pageBreakBefore w:val="0"/>
        <w:wordWrap/>
        <w:overflowPunct/>
        <w:topLinePunct w:val="0"/>
        <w:bidi w:val="0"/>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left"/>
        <w:textAlignment w:val="auto"/>
        <w:rPr>
          <w:rFonts w:hint="eastAsia" w:eastAsia="仿宋_GB2312"/>
          <w:lang w:val="en-US" w:eastAsia="zh-CN"/>
        </w:rPr>
      </w:pPr>
      <w:r>
        <w:rPr>
          <w:rFonts w:hint="eastAsia" w:ascii="仿宋_GB2312" w:hAnsi="黑体" w:eastAsia="仿宋_GB2312"/>
          <w:sz w:val="32"/>
          <w:szCs w:val="32"/>
        </w:rPr>
        <w:t>2022年一般公共预算基本支出6026373.65</w:t>
      </w:r>
      <w:r>
        <w:rPr>
          <w:rFonts w:hint="eastAsia" w:ascii="仿宋_GB2312" w:hAnsi="黑体" w:eastAsia="仿宋_GB2312"/>
          <w:sz w:val="32"/>
          <w:szCs w:val="32"/>
          <w:lang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18.78</w:t>
      </w:r>
      <w:r>
        <w:rPr>
          <w:rFonts w:hint="eastAsia" w:ascii="仿宋_GB2312" w:hAnsi="黑体" w:eastAsia="仿宋_GB2312"/>
          <w:sz w:val="32"/>
          <w:szCs w:val="32"/>
        </w:rPr>
        <w:t>，其中：人员经费</w:t>
      </w:r>
      <w:r>
        <w:rPr>
          <w:rFonts w:hint="eastAsia" w:ascii="仿宋_GB2312" w:hAnsi="黑体" w:eastAsia="仿宋_GB2312"/>
          <w:sz w:val="32"/>
          <w:szCs w:val="32"/>
          <w:lang w:val="en-US" w:eastAsia="zh-CN"/>
        </w:rPr>
        <w:t>5739373.65</w:t>
      </w:r>
      <w:r>
        <w:rPr>
          <w:rFonts w:hint="eastAsia" w:ascii="仿宋_GB2312" w:hAnsi="黑体" w:eastAsia="仿宋_GB2312"/>
          <w:sz w:val="32"/>
          <w:szCs w:val="32"/>
        </w:rPr>
        <w:t>元，单位运转经费</w:t>
      </w:r>
      <w:r>
        <w:rPr>
          <w:rFonts w:hint="eastAsia" w:ascii="仿宋_GB2312" w:hAnsi="黑体" w:eastAsia="仿宋_GB2312"/>
          <w:sz w:val="32"/>
          <w:szCs w:val="32"/>
          <w:lang w:val="en-US" w:eastAsia="zh-CN"/>
        </w:rPr>
        <w:t>287000</w:t>
      </w:r>
      <w:r>
        <w:rPr>
          <w:rFonts w:hint="eastAsia" w:ascii="仿宋_GB2312" w:hAnsi="黑体" w:eastAsia="仿宋_GB2312"/>
          <w:sz w:val="32"/>
          <w:szCs w:val="32"/>
        </w:rPr>
        <w:t>元。</w:t>
      </w:r>
      <w:r>
        <w:rPr>
          <w:rFonts w:hint="eastAsia" w:ascii="仿宋_GB2312" w:hAnsi="黑体" w:eastAsia="仿宋_GB2312"/>
          <w:sz w:val="32"/>
          <w:szCs w:val="32"/>
          <w:lang w:eastAsia="zh-CN"/>
        </w:rPr>
        <w:t>增长的主要原因是人员增加。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四、部门</w:t>
      </w:r>
      <w:r>
        <w:rPr>
          <w:rFonts w:hint="eastAsia" w:ascii="黑体" w:hAnsi="黑体" w:eastAsia="黑体"/>
          <w:sz w:val="32"/>
          <w:szCs w:val="32"/>
          <w:lang w:eastAsia="zh-CN"/>
        </w:rPr>
        <w:t>项目支出</w:t>
      </w:r>
      <w:r>
        <w:rPr>
          <w:rFonts w:hint="eastAsia" w:ascii="黑体" w:hAnsi="黑体" w:eastAsia="黑体"/>
          <w:sz w:val="32"/>
          <w:szCs w:val="32"/>
        </w:rPr>
        <w:t>经费情况说明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eastAsia="仿宋_GB2312"/>
          <w:lang w:val="en-US" w:eastAsia="zh-CN"/>
        </w:rPr>
      </w:pPr>
      <w:r>
        <w:rPr>
          <w:rFonts w:hint="eastAsia" w:ascii="仿宋_GB2312" w:hAnsi="黑体" w:eastAsia="仿宋_GB2312"/>
          <w:sz w:val="32"/>
          <w:szCs w:val="32"/>
        </w:rPr>
        <w:t>2022年</w:t>
      </w:r>
      <w:r>
        <w:rPr>
          <w:rFonts w:hint="eastAsia" w:ascii="仿宋_GB2312" w:hAnsi="黑体" w:eastAsia="仿宋_GB2312"/>
          <w:sz w:val="32"/>
          <w:szCs w:val="32"/>
          <w:lang w:eastAsia="zh-CN"/>
        </w:rPr>
        <w:t>项目</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525000元</w:t>
      </w:r>
      <w:r>
        <w:rPr>
          <w:rFonts w:hint="eastAsia" w:ascii="仿宋_GB2312" w:hAnsi="宋体" w:eastAsia="仿宋_GB2312"/>
          <w:sz w:val="32"/>
          <w:szCs w:val="32"/>
          <w:lang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hAnsi="宋体" w:eastAsia="仿宋_GB2312"/>
          <w:sz w:val="32"/>
          <w:szCs w:val="32"/>
          <w:lang w:eastAsia="zh-CN"/>
        </w:rPr>
        <w:t>主要原因是项目数增加。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、部门“三公”经费情况说明</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pageBreakBefore w:val="0"/>
        <w:wordWrap/>
        <w:overflowPunct/>
        <w:topLinePunct w:val="0"/>
        <w:bidi w:val="0"/>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较上年无变化</w:t>
      </w:r>
      <w:r>
        <w:rPr>
          <w:rFonts w:hint="eastAsia" w:ascii="仿宋_GB2312" w:hAnsi="黑体" w:eastAsia="仿宋_GB2312"/>
          <w:sz w:val="32"/>
          <w:szCs w:val="32"/>
        </w:rPr>
        <w:t>。</w:t>
      </w:r>
    </w:p>
    <w:p>
      <w:pPr>
        <w:keepNext w:val="0"/>
        <w:keepLines w:val="0"/>
        <w:pageBreakBefore w:val="0"/>
        <w:wordWrap/>
        <w:overflowPunct/>
        <w:topLinePunct w:val="0"/>
        <w:bidi w:val="0"/>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较上年无变化</w:t>
      </w:r>
      <w:r>
        <w:rPr>
          <w:rFonts w:hint="eastAsia" w:ascii="仿宋_GB2312" w:hAnsi="黑体" w:eastAsia="仿宋_GB2312"/>
          <w:sz w:val="32"/>
          <w:szCs w:val="32"/>
        </w:rPr>
        <w:t>。</w:t>
      </w:r>
    </w:p>
    <w:p>
      <w:pPr>
        <w:keepNext w:val="0"/>
        <w:keepLines w:val="0"/>
        <w:pageBreakBefore w:val="0"/>
        <w:wordWrap/>
        <w:overflowPunct/>
        <w:topLinePunct w:val="0"/>
        <w:bidi w:val="0"/>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pageBreakBefore w:val="0"/>
        <w:wordWrap/>
        <w:overflowPunct/>
        <w:topLinePunct w:val="0"/>
        <w:bidi w:val="0"/>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10000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val="en-US" w:eastAsia="zh-CN"/>
        </w:rPr>
        <w:t>减少原因：会议减少。</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keepNext w:val="0"/>
        <w:keepLines w:val="0"/>
        <w:pageBreakBefore w:val="0"/>
        <w:wordWrap/>
        <w:overflowPunct/>
        <w:topLinePunct w:val="0"/>
        <w:bidi w:val="0"/>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keepNext w:val="0"/>
        <w:keepLines w:val="0"/>
        <w:pageBreakBefore w:val="0"/>
        <w:wordWrap/>
        <w:overflowPunct/>
        <w:topLinePunct w:val="0"/>
        <w:bidi w:val="0"/>
        <w:spacing w:line="640" w:lineRule="exact"/>
        <w:ind w:firstLine="640" w:firstLineChars="200"/>
        <w:rPr>
          <w:rFonts w:ascii="仿宋_GB2312" w:hAnsi="黑体" w:eastAsia="仿宋_GB2312"/>
          <w:b/>
          <w:sz w:val="44"/>
          <w:szCs w:val="44"/>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287000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减少25000</w:t>
      </w:r>
      <w:r>
        <w:rPr>
          <w:rFonts w:hint="eastAsia" w:ascii="仿宋_GB2312" w:hAnsi="黑体" w:eastAsia="仿宋_GB2312"/>
          <w:sz w:val="32"/>
          <w:szCs w:val="32"/>
        </w:rPr>
        <w:t>元。政府采购预算</w:t>
      </w:r>
      <w:r>
        <w:rPr>
          <w:rFonts w:hint="eastAsia" w:ascii="仿宋_GB2312" w:hAnsi="黑体" w:eastAsia="仿宋_GB2312"/>
          <w:sz w:val="32"/>
          <w:szCs w:val="32"/>
          <w:lang w:val="en-US" w:eastAsia="zh-CN"/>
        </w:rPr>
        <w:t>15400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下降84600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减少84.6</w:t>
      </w:r>
      <w:r>
        <w:rPr>
          <w:rFonts w:hint="eastAsia" w:ascii="仿宋_GB2312" w:hAnsi="黑体" w:eastAsia="仿宋_GB2312"/>
          <w:sz w:val="32"/>
          <w:szCs w:val="32"/>
        </w:rPr>
        <w:t>%，</w:t>
      </w:r>
      <w:r>
        <w:rPr>
          <w:rFonts w:hint="eastAsia" w:ascii="仿宋_GB2312" w:hAnsi="黑体" w:eastAsia="仿宋_GB2312"/>
          <w:sz w:val="32"/>
          <w:szCs w:val="32"/>
          <w:lang w:val="en-US" w:eastAsia="zh-CN"/>
        </w:rPr>
        <w:t>较2021年减少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15400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主要原因是提高工作效率，纸张浪费减少。</w:t>
      </w:r>
      <w:bookmarkStart w:id="0" w:name="_GoBack"/>
      <w:bookmarkEnd w:id="0"/>
    </w:p>
    <w:p>
      <w:pPr>
        <w:keepNext w:val="0"/>
        <w:keepLines w:val="0"/>
        <w:pageBreakBefore w:val="0"/>
        <w:wordWrap/>
        <w:overflowPunct/>
        <w:topLinePunct w:val="0"/>
        <w:bidi w:val="0"/>
        <w:spacing w:line="640" w:lineRule="exact"/>
        <w:jc w:val="center"/>
        <w:rPr>
          <w:rFonts w:ascii="仿宋_GB2312" w:hAnsi="黑体" w:eastAsia="仿宋_GB2312"/>
          <w:b/>
          <w:sz w:val="44"/>
          <w:szCs w:val="44"/>
        </w:rPr>
      </w:pPr>
    </w:p>
    <w:p>
      <w:pPr>
        <w:keepNext w:val="0"/>
        <w:keepLines w:val="0"/>
        <w:pageBreakBefore w:val="0"/>
        <w:wordWrap/>
        <w:overflowPunct/>
        <w:topLinePunct w:val="0"/>
        <w:bidi w:val="0"/>
        <w:spacing w:line="6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ordWrap/>
        <w:overflowPunct/>
        <w:topLinePunct w:val="0"/>
        <w:bidi w:val="0"/>
        <w:spacing w:line="640" w:lineRule="exact"/>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pageBreakBefore w:val="0"/>
        <w:wordWrap/>
        <w:overflowPunct/>
        <w:topLinePunct w:val="0"/>
        <w:bidi w:val="0"/>
        <w:spacing w:line="640" w:lineRule="exact"/>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pageBreakBefore w:val="0"/>
        <w:wordWrap/>
        <w:overflowPunct/>
        <w:topLinePunct w:val="0"/>
        <w:bidi w:val="0"/>
        <w:spacing w:line="640" w:lineRule="exact"/>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2C43"/>
    <w:multiLevelType w:val="singleLevel"/>
    <w:tmpl w:val="2EA42C43"/>
    <w:lvl w:ilvl="0" w:tentative="0">
      <w:start w:val="2"/>
      <w:numFmt w:val="chineseCounting"/>
      <w:suff w:val="space"/>
      <w:lvlText w:val="第%1部分"/>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51075"/>
    <w:rsid w:val="047D2F82"/>
    <w:rsid w:val="060021DC"/>
    <w:rsid w:val="064D410C"/>
    <w:rsid w:val="06746E88"/>
    <w:rsid w:val="06BE6228"/>
    <w:rsid w:val="07E82B56"/>
    <w:rsid w:val="07EA6CFD"/>
    <w:rsid w:val="0A116753"/>
    <w:rsid w:val="0B896034"/>
    <w:rsid w:val="0B9F6B9A"/>
    <w:rsid w:val="0D824E94"/>
    <w:rsid w:val="0E6F37D9"/>
    <w:rsid w:val="112936A0"/>
    <w:rsid w:val="11631E78"/>
    <w:rsid w:val="1250416D"/>
    <w:rsid w:val="13B82E0D"/>
    <w:rsid w:val="141D039C"/>
    <w:rsid w:val="17432B85"/>
    <w:rsid w:val="1909264A"/>
    <w:rsid w:val="198119BE"/>
    <w:rsid w:val="1B78482C"/>
    <w:rsid w:val="1C6D1D31"/>
    <w:rsid w:val="1D654F62"/>
    <w:rsid w:val="1F8F4381"/>
    <w:rsid w:val="204B1966"/>
    <w:rsid w:val="205A7194"/>
    <w:rsid w:val="210F4887"/>
    <w:rsid w:val="22273516"/>
    <w:rsid w:val="2233056C"/>
    <w:rsid w:val="23513756"/>
    <w:rsid w:val="23C709F5"/>
    <w:rsid w:val="250F1490"/>
    <w:rsid w:val="292A0545"/>
    <w:rsid w:val="2B26350E"/>
    <w:rsid w:val="2B5C1C56"/>
    <w:rsid w:val="2BCF3D4E"/>
    <w:rsid w:val="2D550DF7"/>
    <w:rsid w:val="2DBA0562"/>
    <w:rsid w:val="31352995"/>
    <w:rsid w:val="32A96D1A"/>
    <w:rsid w:val="33DE7D29"/>
    <w:rsid w:val="34032DB0"/>
    <w:rsid w:val="34B82D6F"/>
    <w:rsid w:val="373703E1"/>
    <w:rsid w:val="37580FE7"/>
    <w:rsid w:val="396616D2"/>
    <w:rsid w:val="39A71DAE"/>
    <w:rsid w:val="3D8C4411"/>
    <w:rsid w:val="40465DD0"/>
    <w:rsid w:val="40CC1D5D"/>
    <w:rsid w:val="416268DB"/>
    <w:rsid w:val="452F6292"/>
    <w:rsid w:val="46114F69"/>
    <w:rsid w:val="47AF499B"/>
    <w:rsid w:val="484D612A"/>
    <w:rsid w:val="48A9072C"/>
    <w:rsid w:val="4920475B"/>
    <w:rsid w:val="4D903B41"/>
    <w:rsid w:val="4DA8126D"/>
    <w:rsid w:val="4DD72226"/>
    <w:rsid w:val="4EA300AE"/>
    <w:rsid w:val="50622DD8"/>
    <w:rsid w:val="51C77E42"/>
    <w:rsid w:val="54B1376D"/>
    <w:rsid w:val="56311F34"/>
    <w:rsid w:val="564548F7"/>
    <w:rsid w:val="565305B1"/>
    <w:rsid w:val="56C73340"/>
    <w:rsid w:val="59441D15"/>
    <w:rsid w:val="5A3206F2"/>
    <w:rsid w:val="5EAA334A"/>
    <w:rsid w:val="61EF1B1B"/>
    <w:rsid w:val="621A3658"/>
    <w:rsid w:val="62B62979"/>
    <w:rsid w:val="64252B6E"/>
    <w:rsid w:val="651520BC"/>
    <w:rsid w:val="661A6258"/>
    <w:rsid w:val="6A136FDE"/>
    <w:rsid w:val="6A752B54"/>
    <w:rsid w:val="6D9970C2"/>
    <w:rsid w:val="6EA6456E"/>
    <w:rsid w:val="74517818"/>
    <w:rsid w:val="75840CDB"/>
    <w:rsid w:val="75FA50B5"/>
    <w:rsid w:val="77781E83"/>
    <w:rsid w:val="78062181"/>
    <w:rsid w:val="782014FA"/>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2969</Words>
  <Characters>3416</Characters>
  <Lines>16</Lines>
  <Paragraphs>4</Paragraphs>
  <TotalTime>5</TotalTime>
  <ScaleCrop>false</ScaleCrop>
  <LinksUpToDate>false</LinksUpToDate>
  <CharactersWithSpaces>3467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2023-06-08T07:55:17Z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BAC2A16678F246389AE38A5EFE13B49C_13</vt:lpwstr>
  </property>
</Properties>
</file>