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5"/>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0"/>
      <w:bookmarkStart w:id="2" w:name="bookmark1"/>
      <w:r>
        <w:rPr>
          <w:rFonts w:hint="eastAsia" w:ascii="方正小标宋_GBK" w:hAnsi="方正小标宋_GBK" w:eastAsia="方正小标宋_GBK" w:cs="方正小标宋_GBK"/>
          <w:sz w:val="40"/>
          <w:szCs w:val="40"/>
          <w:lang w:val="en-US" w:eastAsia="zh-CN"/>
        </w:rPr>
        <w:t>临夏州东乡族自治县春台乡人民政府</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5"/>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5"/>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keepNext w:val="0"/>
        <w:keepLines w:val="0"/>
        <w:widowControl/>
        <w:suppressLineNumbers w:val="0"/>
        <w:ind w:firstLine="680" w:firstLineChars="200"/>
        <w:jc w:val="left"/>
      </w:pPr>
      <w:bookmarkStart w:id="16" w:name="bookmark24"/>
      <w:r>
        <w:rPr>
          <w:rFonts w:ascii="仿宋" w:hAnsi="仿宋" w:eastAsia="仿宋" w:cs="仿宋"/>
          <w:color w:val="000000"/>
          <w:kern w:val="0"/>
          <w:sz w:val="34"/>
          <w:szCs w:val="34"/>
          <w:lang w:val="en-US" w:eastAsia="zh-CN" w:bidi="ar"/>
        </w:rPr>
        <w:t>东乡族自治县自然资源局（简称县自然资源局）是东乡县政府工作部门。县不动产登记管</w:t>
      </w:r>
      <w:r>
        <w:rPr>
          <w:rFonts w:hint="eastAsia" w:ascii="仿宋" w:hAnsi="仿宋" w:eastAsia="仿宋" w:cs="仿宋"/>
          <w:color w:val="000000"/>
          <w:kern w:val="0"/>
          <w:sz w:val="34"/>
          <w:szCs w:val="34"/>
          <w:lang w:val="en-US" w:eastAsia="zh-CN" w:bidi="ar"/>
        </w:rPr>
        <w:t xml:space="preserve">理局。县自然资源局贯彻落实党中央和省、州及县委关于自然资源工作的方针政策和决策部署 ，在履行职责过程中坚持和加强党对自然资源工作的集中统一领导。履行全民所有土地、矿产 、湿地、水等自然资源资产所有者职责和所有国土空间用途管制职责；拟定自然资源和国土空 间规划及测绘等地方性文件办法和县政府规章草案并监督检查执行情况；负责全县自然资源调 查监测评价、统一确权登记、自然资源资产有偿使用、自然资源的合理开发利用、建立全县空 间规划体系并监督实施、统筹全县国土空间生态修复、组织全县实施最严格的耕地保护制度、 管理全县地质勘查行业和地质工作、落实综合防灾减灾规划相关要求、组织编制地质灾害防治 规划和防护标准并指导实施、矿产资源管理、测绘地理信息管理、推动全县自然资源领域科技 发展，根据授权，对乡镇政府落实自然资源和国土空间规划的重大方针政策、决策部署及法律法规执行情况进行监督检查； </w:t>
      </w:r>
      <w:r>
        <w:rPr>
          <w:rFonts w:ascii="仿宋" w:hAnsi="仿宋" w:eastAsia="仿宋" w:cs="仿宋"/>
          <w:color w:val="000000"/>
          <w:kern w:val="0"/>
          <w:sz w:val="34"/>
          <w:szCs w:val="34"/>
          <w:lang w:val="en-US" w:eastAsia="zh-CN" w:bidi="ar"/>
        </w:rPr>
        <w:t>贯彻落实党中央、省州及县委关于林业与草原工作的方针政策和决策部署；贯彻执行国家</w:t>
      </w:r>
      <w:r>
        <w:rPr>
          <w:rFonts w:hint="eastAsia" w:ascii="仿宋" w:hAnsi="仿宋" w:eastAsia="仿宋" w:cs="仿宋"/>
          <w:color w:val="000000"/>
          <w:kern w:val="0"/>
          <w:sz w:val="34"/>
          <w:szCs w:val="34"/>
          <w:lang w:val="en-US" w:eastAsia="zh-CN" w:bidi="ar"/>
        </w:rPr>
        <w:t>有关林业与草原的方针、政策和法律法规、承担林业与草原发展建设、保护提供技术支持和服务保障等事务性工作。</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80" w:firstLineChars="200"/>
        <w:jc w:val="left"/>
        <w:textAlignment w:val="auto"/>
        <w:rPr>
          <w:rFonts w:hint="eastAsia" w:ascii="仿宋" w:hAnsi="仿宋" w:eastAsia="仿宋" w:cs="仿宋"/>
          <w:color w:val="000000"/>
          <w:kern w:val="0"/>
          <w:sz w:val="34"/>
          <w:szCs w:val="34"/>
          <w:lang w:val="en-US" w:eastAsia="zh-CN" w:bidi="ar"/>
        </w:rPr>
      </w:pPr>
      <w:r>
        <w:rPr>
          <w:rFonts w:hint="eastAsia" w:ascii="仿宋" w:hAnsi="仿宋" w:eastAsia="仿宋" w:cs="仿宋"/>
          <w:color w:val="000000"/>
          <w:kern w:val="0"/>
          <w:sz w:val="34"/>
          <w:szCs w:val="34"/>
          <w:lang w:val="en-US" w:eastAsia="zh-CN" w:bidi="ar"/>
        </w:rPr>
        <w:t>东乡族自治县自然资源局共有编制97名，其中行政编制11名，年末实有人数101名；</w:t>
      </w:r>
      <w:r>
        <w:rPr>
          <w:rFonts w:ascii="仿宋" w:hAnsi="仿宋" w:eastAsia="仿宋" w:cs="仿宋"/>
          <w:color w:val="000000"/>
          <w:kern w:val="0"/>
          <w:sz w:val="34"/>
          <w:szCs w:val="34"/>
          <w:lang w:val="en-US" w:eastAsia="zh-CN" w:bidi="ar"/>
        </w:rPr>
        <w:t xml:space="preserve">下设综合办公室、空间规划股、用途管制股、生态修复股、自然资源测绘调查和确权股、 </w:t>
      </w:r>
      <w:r>
        <w:rPr>
          <w:rFonts w:hint="eastAsia" w:ascii="仿宋" w:hAnsi="仿宋" w:eastAsia="仿宋" w:cs="仿宋"/>
          <w:color w:val="000000"/>
          <w:kern w:val="0"/>
          <w:sz w:val="34"/>
          <w:szCs w:val="34"/>
          <w:lang w:val="en-US" w:eastAsia="zh-CN" w:bidi="ar"/>
        </w:rPr>
        <w:t>自然资源监督管护股。</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556250" cy="6572250"/>
            <wp:effectExtent l="0" t="0" r="6350" b="0"/>
            <wp:docPr id="4" name="图片 4" descr="收入支出决算总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收入支出决算总表"/>
                    <pic:cNvPicPr>
                      <a:picLocks noChangeAspect="1"/>
                    </pic:cNvPicPr>
                  </pic:nvPicPr>
                  <pic:blipFill>
                    <a:blip r:embed="rId8"/>
                    <a:stretch>
                      <a:fillRect/>
                    </a:stretch>
                  </pic:blipFill>
                  <pic:spPr>
                    <a:xfrm>
                      <a:off x="0" y="0"/>
                      <a:ext cx="5556250" cy="6572250"/>
                    </a:xfrm>
                    <a:prstGeom prst="rect">
                      <a:avLst/>
                    </a:prstGeom>
                  </pic:spPr>
                </pic:pic>
              </a:graphicData>
            </a:graphic>
          </wp:inline>
        </w:drawing>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721350" cy="7776845"/>
            <wp:effectExtent l="0" t="0" r="12700" b="14605"/>
            <wp:docPr id="3" name="图片 3" descr="收入决算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收入决算表"/>
                    <pic:cNvPicPr>
                      <a:picLocks noChangeAspect="1"/>
                    </pic:cNvPicPr>
                  </pic:nvPicPr>
                  <pic:blipFill>
                    <a:blip r:embed="rId9"/>
                    <a:stretch>
                      <a:fillRect/>
                    </a:stretch>
                  </pic:blipFill>
                  <pic:spPr>
                    <a:xfrm>
                      <a:off x="0" y="0"/>
                      <a:ext cx="5721350" cy="7776845"/>
                    </a:xfrm>
                    <a:prstGeom prst="rect">
                      <a:avLst/>
                    </a:prstGeom>
                  </pic:spPr>
                </pic:pic>
              </a:graphicData>
            </a:graphic>
          </wp:inline>
        </w:drawing>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60035" cy="8147685"/>
            <wp:effectExtent l="0" t="0" r="12065" b="5715"/>
            <wp:docPr id="5" name="图片 5" descr="支出决算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支出决算表"/>
                    <pic:cNvPicPr>
                      <a:picLocks noChangeAspect="1"/>
                    </pic:cNvPicPr>
                  </pic:nvPicPr>
                  <pic:blipFill>
                    <a:blip r:embed="rId10"/>
                    <a:stretch>
                      <a:fillRect/>
                    </a:stretch>
                  </pic:blipFill>
                  <pic:spPr>
                    <a:xfrm>
                      <a:off x="0" y="0"/>
                      <a:ext cx="5360035" cy="8147685"/>
                    </a:xfrm>
                    <a:prstGeom prst="rect">
                      <a:avLst/>
                    </a:prstGeom>
                  </pic:spPr>
                </pic:pic>
              </a:graphicData>
            </a:graphic>
          </wp:inline>
        </w:drawing>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54955" cy="7682230"/>
            <wp:effectExtent l="0" t="0" r="17145" b="13970"/>
            <wp:docPr id="6" name="图片 6" descr="财政拨款收入支出决算总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财政拨款收入支出决算总表"/>
                    <pic:cNvPicPr>
                      <a:picLocks noChangeAspect="1"/>
                    </pic:cNvPicPr>
                  </pic:nvPicPr>
                  <pic:blipFill>
                    <a:blip r:embed="rId11"/>
                    <a:stretch>
                      <a:fillRect/>
                    </a:stretch>
                  </pic:blipFill>
                  <pic:spPr>
                    <a:xfrm>
                      <a:off x="0" y="0"/>
                      <a:ext cx="5354955" cy="7682230"/>
                    </a:xfrm>
                    <a:prstGeom prst="rect">
                      <a:avLst/>
                    </a:prstGeom>
                  </pic:spPr>
                </pic:pic>
              </a:graphicData>
            </a:graphic>
          </wp:inline>
        </w:drawing>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eastAsia="宋体"/>
          <w:lang w:eastAsia="zh-CN"/>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57495" cy="7362190"/>
            <wp:effectExtent l="0" t="0" r="14605" b="10160"/>
            <wp:docPr id="7" name="图片 7" descr="一般公共预算支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一般公共预算支出"/>
                    <pic:cNvPicPr>
                      <a:picLocks noChangeAspect="1"/>
                    </pic:cNvPicPr>
                  </pic:nvPicPr>
                  <pic:blipFill>
                    <a:blip r:embed="rId12"/>
                    <a:stretch>
                      <a:fillRect/>
                    </a:stretch>
                  </pic:blipFill>
                  <pic:spPr>
                    <a:xfrm>
                      <a:off x="0" y="0"/>
                      <a:ext cx="5357495" cy="7362190"/>
                    </a:xfrm>
                    <a:prstGeom prst="rect">
                      <a:avLst/>
                    </a:prstGeom>
                  </pic:spPr>
                </pic:pic>
              </a:graphicData>
            </a:graphic>
          </wp:inline>
        </w:drawing>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6353810" cy="7581265"/>
            <wp:effectExtent l="0" t="0" r="8890" b="635"/>
            <wp:docPr id="10" name="图片 10" descr="明细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明细表"/>
                    <pic:cNvPicPr>
                      <a:picLocks noChangeAspect="1"/>
                    </pic:cNvPicPr>
                  </pic:nvPicPr>
                  <pic:blipFill>
                    <a:blip r:embed="rId13"/>
                    <a:stretch>
                      <a:fillRect/>
                    </a:stretch>
                  </pic:blipFill>
                  <pic:spPr>
                    <a:xfrm>
                      <a:off x="0" y="0"/>
                      <a:ext cx="6353810" cy="7581265"/>
                    </a:xfrm>
                    <a:prstGeom prst="rect">
                      <a:avLst/>
                    </a:prstGeom>
                  </pic:spPr>
                </pic:pic>
              </a:graphicData>
            </a:graphic>
          </wp:inline>
        </w:drawing>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61940" cy="1458595"/>
            <wp:effectExtent l="0" t="0" r="10160" b="8255"/>
            <wp:docPr id="11" name="图片 11" descr="三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三公"/>
                    <pic:cNvPicPr>
                      <a:picLocks noChangeAspect="1"/>
                    </pic:cNvPicPr>
                  </pic:nvPicPr>
                  <pic:blipFill>
                    <a:blip r:embed="rId14"/>
                    <a:stretch>
                      <a:fillRect/>
                    </a:stretch>
                  </pic:blipFill>
                  <pic:spPr>
                    <a:xfrm>
                      <a:off x="0" y="0"/>
                      <a:ext cx="5361940" cy="1458595"/>
                    </a:xfrm>
                    <a:prstGeom prst="rect">
                      <a:avLst/>
                    </a:prstGeom>
                  </pic:spPr>
                </pic:pic>
              </a:graphicData>
            </a:graphic>
          </wp:inline>
        </w:drawing>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57495" cy="1894205"/>
            <wp:effectExtent l="0" t="0" r="14605" b="10795"/>
            <wp:docPr id="12" name="图片 12" descr="政府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政府性"/>
                    <pic:cNvPicPr>
                      <a:picLocks noChangeAspect="1"/>
                    </pic:cNvPicPr>
                  </pic:nvPicPr>
                  <pic:blipFill>
                    <a:blip r:embed="rId15"/>
                    <a:stretch>
                      <a:fillRect/>
                    </a:stretch>
                  </pic:blipFill>
                  <pic:spPr>
                    <a:xfrm>
                      <a:off x="0" y="0"/>
                      <a:ext cx="5357495" cy="1894205"/>
                    </a:xfrm>
                    <a:prstGeom prst="rect">
                      <a:avLst/>
                    </a:prstGeom>
                  </pic:spPr>
                </pic:pic>
              </a:graphicData>
            </a:graphic>
          </wp:inline>
        </w:drawing>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58765" cy="1936115"/>
            <wp:effectExtent l="0" t="0" r="13335" b="6985"/>
            <wp:docPr id="13" name="图片 13" descr="国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国有"/>
                    <pic:cNvPicPr>
                      <a:picLocks noChangeAspect="1"/>
                    </pic:cNvPicPr>
                  </pic:nvPicPr>
                  <pic:blipFill>
                    <a:blip r:embed="rId16"/>
                    <a:stretch>
                      <a:fillRect/>
                    </a:stretch>
                  </pic:blipFill>
                  <pic:spPr>
                    <a:xfrm>
                      <a:off x="0" y="0"/>
                      <a:ext cx="5358765" cy="1936115"/>
                    </a:xfrm>
                    <a:prstGeom prst="rect">
                      <a:avLst/>
                    </a:prstGeom>
                  </pic:spPr>
                </pic:pic>
              </a:graphicData>
            </a:graphic>
          </wp:inline>
        </w:drawing>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5"/>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lang w:val="en-US" w:eastAsia="zh-CN"/>
        </w:rPr>
        <w:t>2021年度收入总计325554679.63元，支出总计325554679.63元，与2020年决算数相比，收入减少35326858.46元，减少9.7%，支出减少35326858.46元，减少9.7%。</w:t>
      </w:r>
      <w:r>
        <w:rPr>
          <w:rFonts w:hint="eastAsia" w:ascii="仿宋_GB2312" w:eastAsia="仿宋_GB2312"/>
          <w:sz w:val="30"/>
          <w:szCs w:val="30"/>
        </w:rPr>
        <w:t>主要原因是</w:t>
      </w:r>
      <w:r>
        <w:rPr>
          <w:rFonts w:hint="eastAsia" w:ascii="仿宋_GB2312" w:eastAsia="仿宋_GB2312"/>
          <w:sz w:val="30"/>
          <w:szCs w:val="30"/>
          <w:lang w:eastAsia="zh-CN"/>
        </w:rPr>
        <w:t>项目减少</w:t>
      </w:r>
      <w:r>
        <w:rPr>
          <w:rFonts w:hint="eastAsia" w:ascii="仿宋_GB2312" w:eastAsia="仿宋_GB2312"/>
          <w:sz w:val="30"/>
          <w:szCs w:val="30"/>
          <w:lang w:val="en-US" w:eastAsia="zh-CN"/>
        </w:rPr>
        <w:t>，收入支出相应减少</w:t>
      </w:r>
      <w:r>
        <w:rPr>
          <w:rFonts w:hint="eastAsia" w:ascii="仿宋_GB2312" w:hAnsi="仿宋_GB2312" w:eastAsia="仿宋_GB2312" w:cs="仿宋_GB2312"/>
          <w:color w:val="000000"/>
          <w:spacing w:val="0"/>
          <w:w w:val="100"/>
          <w:position w:val="0"/>
          <w:sz w:val="32"/>
          <w:szCs w:val="32"/>
          <w:lang w:eastAsia="zh-CN"/>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bidi="en-US"/>
        </w:rPr>
        <w:t>300939053.95</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hAnsi="仿宋_GB2312" w:eastAsia="仿宋_GB2312" w:cs="仿宋_GB2312"/>
          <w:color w:val="000000"/>
          <w:spacing w:val="0"/>
          <w:w w:val="100"/>
          <w:position w:val="0"/>
          <w:sz w:val="32"/>
          <w:szCs w:val="32"/>
          <w:lang w:val="en-US" w:eastAsia="zh-CN"/>
        </w:rPr>
        <w:t>87358969.27</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29.03</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政府性基金预算财政拨款收入120657708.86</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40.1</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其他收入92922375.82元，占30.87%</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288650799.66</w:t>
      </w:r>
      <w:r>
        <w:rPr>
          <w:rFonts w:hint="eastAsia" w:ascii="仿宋_GB2312" w:hAnsi="仿宋_GB2312" w:eastAsia="仿宋_GB2312" w:cs="仿宋_GB2312"/>
          <w:color w:val="000000"/>
          <w:spacing w:val="0"/>
          <w:w w:val="100"/>
          <w:position w:val="0"/>
          <w:sz w:val="32"/>
          <w:szCs w:val="32"/>
        </w:rPr>
        <w:t>元，其中：</w:t>
      </w:r>
      <w:r>
        <w:rPr>
          <w:rFonts w:hint="eastAsia" w:ascii="仿宋_GB2312" w:hAnsi="仿宋_GB2312" w:eastAsia="仿宋_GB2312" w:cs="仿宋_GB2312"/>
          <w:color w:val="000000"/>
          <w:spacing w:val="0"/>
          <w:w w:val="100"/>
          <w:position w:val="0"/>
          <w:sz w:val="32"/>
          <w:szCs w:val="32"/>
          <w:lang w:eastAsia="zh-CN"/>
        </w:rPr>
        <w:t>一般公共服务</w:t>
      </w:r>
      <w:r>
        <w:rPr>
          <w:rFonts w:hint="eastAsia" w:ascii="仿宋_GB2312" w:hAnsi="仿宋_GB2312" w:eastAsia="仿宋_GB2312" w:cs="仿宋_GB2312"/>
          <w:color w:val="000000"/>
          <w:spacing w:val="0"/>
          <w:w w:val="100"/>
          <w:position w:val="0"/>
          <w:sz w:val="32"/>
          <w:szCs w:val="32"/>
        </w:rPr>
        <w:t>支出</w:t>
      </w:r>
      <w:r>
        <w:rPr>
          <w:rFonts w:hint="eastAsia" w:ascii="仿宋_GB2312" w:hAnsi="仿宋_GB2312" w:eastAsia="仿宋_GB2312" w:cs="仿宋_GB2312"/>
          <w:color w:val="000000"/>
          <w:spacing w:val="0"/>
          <w:w w:val="100"/>
          <w:position w:val="0"/>
          <w:sz w:val="32"/>
          <w:szCs w:val="32"/>
          <w:lang w:val="en-US" w:eastAsia="zh-CN" w:bidi="en-US"/>
        </w:rPr>
        <w:t>104226</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0.03</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社会保障和就业支出1115159.01元，占0.39%；</w:t>
      </w:r>
      <w:r>
        <w:rPr>
          <w:rFonts w:hint="eastAsia" w:ascii="仿宋_GB2312" w:hAnsi="仿宋_GB2312" w:eastAsia="仿宋_GB2312" w:cs="仿宋_GB2312"/>
          <w:color w:val="000000"/>
          <w:spacing w:val="0"/>
          <w:w w:val="100"/>
          <w:position w:val="0"/>
          <w:sz w:val="32"/>
          <w:szCs w:val="32"/>
        </w:rPr>
        <w:t>卫生健康支出支出</w:t>
      </w:r>
      <w:r>
        <w:rPr>
          <w:rFonts w:hint="eastAsia" w:ascii="仿宋_GB2312" w:hAnsi="仿宋_GB2312" w:eastAsia="仿宋_GB2312" w:cs="仿宋_GB2312"/>
          <w:color w:val="000000"/>
          <w:spacing w:val="0"/>
          <w:w w:val="100"/>
          <w:position w:val="0"/>
          <w:sz w:val="32"/>
          <w:szCs w:val="32"/>
          <w:lang w:val="en-US" w:eastAsia="zh-CN"/>
        </w:rPr>
        <w:t>458617.8</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0.16</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城乡社区支出192592311.21元，</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66.72</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农林水支出支出</w:t>
      </w:r>
      <w:r>
        <w:rPr>
          <w:rFonts w:hint="eastAsia" w:ascii="仿宋_GB2312" w:hAnsi="仿宋_GB2312" w:eastAsia="仿宋_GB2312" w:cs="仿宋_GB2312"/>
          <w:color w:val="000000"/>
          <w:spacing w:val="0"/>
          <w:w w:val="100"/>
          <w:position w:val="0"/>
          <w:sz w:val="32"/>
          <w:szCs w:val="32"/>
          <w:lang w:val="en-US" w:eastAsia="zh-CN" w:bidi="en-US"/>
        </w:rPr>
        <w:t>30323710.88元</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10.5</w:t>
      </w:r>
      <w:r>
        <w:rPr>
          <w:rFonts w:hint="eastAsia" w:ascii="仿宋_GB2312" w:hAnsi="仿宋_GB2312" w:eastAsia="仿宋_GB2312" w:cs="仿宋_GB2312"/>
          <w:color w:val="000000"/>
          <w:spacing w:val="0"/>
          <w:w w:val="100"/>
          <w:position w:val="0"/>
          <w:sz w:val="32"/>
          <w:szCs w:val="32"/>
        </w:rPr>
        <w:t>%；自然资源海洋气象等支出50079647.06</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17.35</w:t>
      </w:r>
      <w:r>
        <w:rPr>
          <w:rFonts w:hint="eastAsia" w:ascii="仿宋_GB2312" w:hAnsi="仿宋_GB2312" w:eastAsia="仿宋_GB2312" w:cs="仿宋_GB2312"/>
          <w:color w:val="000000"/>
          <w:spacing w:val="0"/>
          <w:w w:val="100"/>
          <w:position w:val="0"/>
          <w:sz w:val="32"/>
          <w:szCs w:val="32"/>
        </w:rPr>
        <w:t>%；灾害防治及应急管理支出</w:t>
      </w:r>
      <w:r>
        <w:rPr>
          <w:rFonts w:hint="eastAsia" w:ascii="仿宋_GB2312" w:hAnsi="仿宋_GB2312" w:eastAsia="仿宋_GB2312" w:cs="仿宋_GB2312"/>
          <w:sz w:val="32"/>
          <w:szCs w:val="32"/>
          <w:lang w:eastAsia="zh-CN"/>
        </w:rPr>
        <w:t>13977127.7</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4.84</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bidi="en-US"/>
        </w:rPr>
        <w:t>208016678.13</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20517173.34</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减少8.29%。主要原因是专项费用和人员经费减少，收入相应减少。较年初预算数增加63624987.58元，增加20.8%。主要原因是专项费用和人员经</w:t>
      </w:r>
      <w:r>
        <w:rPr>
          <w:rFonts w:hint="eastAsia" w:ascii="仿宋_GB2312" w:eastAsia="仿宋_GB2312"/>
          <w:sz w:val="30"/>
          <w:szCs w:val="30"/>
          <w:lang w:eastAsia="zh-CN"/>
        </w:rPr>
        <w:t>费</w:t>
      </w:r>
      <w:r>
        <w:rPr>
          <w:rFonts w:hint="eastAsia" w:ascii="仿宋_GB2312" w:eastAsia="仿宋_GB2312"/>
          <w:sz w:val="30"/>
          <w:szCs w:val="30"/>
          <w:lang w:val="en-US" w:eastAsia="zh-CN"/>
        </w:rPr>
        <w:t>增加，收入支出相应增加</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189283541.75</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bidi="en-US"/>
        </w:rPr>
        <w:t>44891851.2</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31.1</w:t>
      </w:r>
      <w:r>
        <w:rPr>
          <w:rFonts w:hint="eastAsia" w:ascii="仿宋_GB2312" w:hAnsi="仿宋_GB2312" w:eastAsia="仿宋_GB2312" w:cs="仿宋_GB2312"/>
          <w:color w:val="000000"/>
          <w:spacing w:val="0"/>
          <w:w w:val="100"/>
          <w:position w:val="0"/>
          <w:sz w:val="32"/>
          <w:szCs w:val="32"/>
        </w:rPr>
        <w:t>%。</w:t>
      </w:r>
      <w:r>
        <w:rPr>
          <w:rFonts w:hint="eastAsia" w:ascii="仿宋_GB2312" w:eastAsia="仿宋_GB2312"/>
          <w:sz w:val="30"/>
          <w:szCs w:val="30"/>
        </w:rPr>
        <w:t>主要原因是</w:t>
      </w:r>
      <w:r>
        <w:rPr>
          <w:rFonts w:hint="eastAsia" w:ascii="仿宋_GB2312" w:eastAsia="仿宋_GB2312"/>
          <w:sz w:val="30"/>
          <w:szCs w:val="30"/>
          <w:lang w:eastAsia="zh-CN"/>
        </w:rPr>
        <w:t>专项费用和人员经费</w:t>
      </w:r>
      <w:r>
        <w:rPr>
          <w:rFonts w:hint="eastAsia" w:ascii="仿宋_GB2312" w:eastAsia="仿宋_GB2312"/>
          <w:sz w:val="30"/>
          <w:szCs w:val="30"/>
          <w:lang w:val="en-US" w:eastAsia="zh-CN"/>
        </w:rPr>
        <w:t>增加，支出相应增加。</w:t>
      </w:r>
    </w:p>
    <w:p>
      <w:pPr>
        <w:pStyle w:val="1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5"/>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年度一般公共预算财政拨款支出87434071.89元，占本年支出的 100%，较上年决算数增加</w:t>
      </w:r>
      <w:r>
        <w:rPr>
          <w:rFonts w:hint="eastAsia" w:ascii="仿宋_GB2312" w:hAnsi="仿宋_GB2312" w:eastAsia="仿宋_GB2312" w:cs="仿宋_GB2312"/>
          <w:color w:val="000000"/>
          <w:spacing w:val="0"/>
          <w:w w:val="100"/>
          <w:position w:val="0"/>
          <w:sz w:val="32"/>
          <w:szCs w:val="32"/>
          <w:lang w:val="en-US" w:eastAsia="zh-CN" w:bidi="en-US"/>
        </w:rPr>
        <w:t>1885182.35</w:t>
      </w:r>
      <w:r>
        <w:rPr>
          <w:rFonts w:hint="eastAsia" w:ascii="仿宋_GB2312" w:hAnsi="仿宋_GB2312" w:eastAsia="仿宋_GB2312" w:cs="仿宋_GB2312"/>
          <w:color w:val="000000"/>
          <w:spacing w:val="0"/>
          <w:w w:val="100"/>
          <w:position w:val="0"/>
          <w:sz w:val="32"/>
          <w:szCs w:val="32"/>
          <w:lang w:val="en-US" w:eastAsia="zh-CN"/>
        </w:rPr>
        <w:t>元，增长22.11%。</w:t>
      </w:r>
      <w:r>
        <w:rPr>
          <w:rFonts w:hint="eastAsia" w:ascii="仿宋_GB2312" w:eastAsia="仿宋_GB2312"/>
          <w:sz w:val="30"/>
          <w:szCs w:val="30"/>
        </w:rPr>
        <w:t>主要原因是</w:t>
      </w:r>
      <w:r>
        <w:rPr>
          <w:rFonts w:hint="eastAsia" w:ascii="仿宋_GB2312" w:eastAsia="仿宋_GB2312"/>
          <w:sz w:val="30"/>
          <w:szCs w:val="30"/>
          <w:lang w:eastAsia="zh-CN"/>
        </w:rPr>
        <w:t>专项费用和人员经费</w:t>
      </w:r>
      <w:r>
        <w:rPr>
          <w:rFonts w:hint="eastAsia" w:ascii="仿宋_GB2312" w:eastAsia="仿宋_GB2312"/>
          <w:sz w:val="30"/>
          <w:szCs w:val="30"/>
          <w:lang w:val="en-US" w:eastAsia="zh-CN"/>
        </w:rPr>
        <w:t>增加，支出相应增加。</w:t>
      </w:r>
    </w:p>
    <w:p>
      <w:pPr>
        <w:pStyle w:val="15"/>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5"/>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zh-CN" w:bidi="en-US"/>
        </w:rPr>
        <w:t>104226</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0.12</w:t>
      </w:r>
      <w:r>
        <w:rPr>
          <w:rFonts w:hint="eastAsia" w:ascii="仿宋_GB2312" w:hAnsi="仿宋_GB2312" w:eastAsia="仿宋_GB2312" w:cs="仿宋_GB2312"/>
          <w:color w:val="000000"/>
          <w:spacing w:val="0"/>
          <w:w w:val="100"/>
          <w:position w:val="0"/>
          <w:sz w:val="32"/>
          <w:szCs w:val="32"/>
        </w:rPr>
        <w:t>%,</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eastAsia="zh-CN"/>
          <w14:textFill>
            <w14:solidFill>
              <w14:schemeClr w14:val="tx1"/>
            </w14:solidFill>
          </w14:textFill>
        </w:rPr>
        <w:t>减少</w:t>
      </w:r>
      <w:r>
        <w:rPr>
          <w:rFonts w:hint="eastAsia" w:ascii="仿宋_GB2312" w:eastAsia="仿宋_GB2312"/>
          <w:color w:val="000000" w:themeColor="text1"/>
          <w:sz w:val="30"/>
          <w:szCs w:val="30"/>
          <w:lang w:val="en-US" w:eastAsia="zh-CN"/>
          <w14:textFill>
            <w14:solidFill>
              <w14:schemeClr w14:val="tx1"/>
            </w14:solidFill>
          </w14:textFill>
        </w:rPr>
        <w:t>191670.48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val="en-US" w:eastAsia="zh-CN"/>
          <w14:textFill>
            <w14:solidFill>
              <w14:schemeClr w14:val="tx1"/>
            </w14:solidFill>
          </w14:textFill>
        </w:rPr>
        <w:t>人员减少；</w:t>
      </w:r>
    </w:p>
    <w:p>
      <w:pPr>
        <w:pStyle w:val="23"/>
        <w:keepNext w:val="0"/>
        <w:keepLines w:val="0"/>
        <w:pageBreakBefore w:val="0"/>
        <w:widowControl w:val="0"/>
        <w:shd w:val="clear" w:color="auto" w:fill="auto"/>
        <w:tabs>
          <w:tab w:val="left" w:leader="dot" w:pos="4560"/>
        </w:tabs>
        <w:kinsoku/>
        <w:wordWrap/>
        <w:overflowPunct/>
        <w:topLinePunct w:val="0"/>
        <w:autoSpaceDE/>
        <w:autoSpaceDN/>
        <w:bidi w:val="0"/>
        <w:adjustRightInd/>
        <w:snapToGrid/>
        <w:spacing w:before="0" w:after="0" w:line="360" w:lineRule="auto"/>
        <w:ind w:right="0" w:firstLine="745" w:firstLineChars="233"/>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zh-CN" w:bidi="en-US"/>
        </w:rPr>
        <w:t>1115159.01</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1.26</w:t>
      </w:r>
      <w:r>
        <w:rPr>
          <w:rFonts w:hint="eastAsia" w:ascii="仿宋_GB2312" w:hAnsi="仿宋_GB2312" w:eastAsia="仿宋_GB2312" w:cs="仿宋_GB2312"/>
          <w:color w:val="000000"/>
          <w:spacing w:val="0"/>
          <w:w w:val="100"/>
          <w:position w:val="0"/>
          <w:sz w:val="32"/>
          <w:szCs w:val="32"/>
        </w:rPr>
        <w:t>%,</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eastAsia="zh-CN"/>
          <w14:textFill>
            <w14:solidFill>
              <w14:schemeClr w14:val="tx1"/>
            </w14:solidFill>
          </w14:textFill>
        </w:rPr>
        <w:t>减少</w:t>
      </w:r>
      <w:r>
        <w:rPr>
          <w:rFonts w:hint="eastAsia" w:ascii="仿宋_GB2312" w:eastAsia="仿宋_GB2312"/>
          <w:color w:val="000000" w:themeColor="text1"/>
          <w:sz w:val="30"/>
          <w:szCs w:val="30"/>
          <w:lang w:val="en-US" w:eastAsia="zh-CN"/>
          <w14:textFill>
            <w14:solidFill>
              <w14:schemeClr w14:val="tx1"/>
            </w14:solidFill>
          </w14:textFill>
        </w:rPr>
        <w:t>1281602.48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年中</w:t>
      </w:r>
      <w:r>
        <w:rPr>
          <w:rFonts w:hint="eastAsia" w:ascii="仿宋_GB2312" w:eastAsia="仿宋_GB2312"/>
          <w:color w:val="000000" w:themeColor="text1"/>
          <w:sz w:val="30"/>
          <w:szCs w:val="30"/>
          <w:lang w:val="en-US" w:eastAsia="zh-CN"/>
          <w14:textFill>
            <w14:solidFill>
              <w14:schemeClr w14:val="tx1"/>
            </w14:solidFill>
          </w14:textFill>
        </w:rPr>
        <w:t>人员减少</w:t>
      </w:r>
      <w:r>
        <w:rPr>
          <w:rFonts w:hint="eastAsia" w:ascii="仿宋_GB2312" w:hAnsi="仿宋_GB2312" w:eastAsia="仿宋_GB2312" w:cs="仿宋_GB2312"/>
          <w:color w:val="000000"/>
          <w:spacing w:val="0"/>
          <w:w w:val="100"/>
          <w:position w:val="0"/>
          <w:sz w:val="32"/>
          <w:szCs w:val="32"/>
        </w:rPr>
        <w:t>;</w:t>
      </w:r>
    </w:p>
    <w:p>
      <w:pPr>
        <w:pStyle w:val="23"/>
        <w:keepNext w:val="0"/>
        <w:keepLines w:val="0"/>
        <w:pageBreakBefore w:val="0"/>
        <w:widowControl w:val="0"/>
        <w:shd w:val="clear" w:color="auto" w:fill="auto"/>
        <w:tabs>
          <w:tab w:val="left" w:leader="dot" w:pos="4560"/>
        </w:tabs>
        <w:kinsoku/>
        <w:wordWrap/>
        <w:overflowPunct/>
        <w:topLinePunct w:val="0"/>
        <w:autoSpaceDE/>
        <w:autoSpaceDN/>
        <w:bidi w:val="0"/>
        <w:adjustRightInd/>
        <w:snapToGrid/>
        <w:spacing w:before="0" w:after="0" w:line="360" w:lineRule="auto"/>
        <w:ind w:right="0" w:firstLine="745" w:firstLineChars="233"/>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t>卫生健康</w:t>
      </w:r>
      <w:r>
        <w:rPr>
          <w:rFonts w:hint="eastAsia" w:ascii="仿宋_GB2312" w:hAnsi="仿宋_GB2312" w:eastAsia="仿宋_GB2312" w:cs="仿宋_GB2312"/>
          <w:color w:val="000000"/>
          <w:spacing w:val="0"/>
          <w:w w:val="100"/>
          <w:position w:val="0"/>
          <w:sz w:val="32"/>
          <w:szCs w:val="32"/>
        </w:rPr>
        <w:t>支出</w:t>
      </w:r>
      <w:r>
        <w:rPr>
          <w:rFonts w:hint="eastAsia" w:ascii="仿宋_GB2312" w:hAnsi="仿宋_GB2312" w:eastAsia="仿宋_GB2312" w:cs="仿宋_GB2312"/>
          <w:color w:val="000000"/>
          <w:spacing w:val="0"/>
          <w:w w:val="100"/>
          <w:position w:val="0"/>
          <w:sz w:val="32"/>
          <w:szCs w:val="32"/>
          <w:lang w:val="en-US" w:eastAsia="zh-CN"/>
        </w:rPr>
        <w:t>458617.8元</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0.55</w:t>
      </w:r>
      <w:r>
        <w:rPr>
          <w:rFonts w:hint="eastAsia" w:ascii="仿宋_GB2312" w:hAnsi="仿宋_GB2312" w:eastAsia="仿宋_GB2312" w:cs="仿宋_GB2312"/>
          <w:color w:val="000000"/>
          <w:spacing w:val="0"/>
          <w:w w:val="100"/>
          <w:position w:val="0"/>
          <w:sz w:val="32"/>
          <w:szCs w:val="32"/>
        </w:rPr>
        <w:t>%,</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529181.76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人员增加</w:t>
      </w:r>
      <w:r>
        <w:rPr>
          <w:rFonts w:hint="eastAsia" w:ascii="仿宋_GB2312" w:hAnsi="仿宋_GB2312" w:eastAsia="仿宋_GB2312" w:cs="仿宋_GB2312"/>
          <w:color w:val="000000"/>
          <w:spacing w:val="0"/>
          <w:w w:val="100"/>
          <w:position w:val="0"/>
          <w:sz w:val="32"/>
          <w:szCs w:val="32"/>
        </w:rPr>
        <w:t>;</w:t>
      </w:r>
    </w:p>
    <w:p>
      <w:pPr>
        <w:pStyle w:val="2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农林水支出</w:t>
      </w:r>
      <w:r>
        <w:rPr>
          <w:rFonts w:hint="eastAsia" w:ascii="仿宋_GB2312" w:hAnsi="仿宋_GB2312" w:eastAsia="仿宋_GB2312" w:cs="仿宋_GB2312"/>
          <w:color w:val="000000"/>
          <w:spacing w:val="0"/>
          <w:w w:val="100"/>
          <w:position w:val="0"/>
          <w:sz w:val="32"/>
          <w:szCs w:val="32"/>
          <w:lang w:val="en-US" w:eastAsia="zh-CN"/>
        </w:rPr>
        <w:t>30323710.88</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34.68</w:t>
      </w:r>
      <w:r>
        <w:rPr>
          <w:rFonts w:hint="eastAsia" w:ascii="仿宋_GB2312" w:hAnsi="仿宋_GB2312" w:eastAsia="仿宋_GB2312" w:cs="仿宋_GB2312"/>
          <w:color w:val="000000"/>
          <w:spacing w:val="0"/>
          <w:w w:val="100"/>
          <w:position w:val="0"/>
          <w:sz w:val="32"/>
          <w:szCs w:val="32"/>
        </w:rPr>
        <w:t>%,</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val="en-US" w:eastAsia="zh-CN"/>
          <w14:textFill>
            <w14:solidFill>
              <w14:schemeClr w14:val="tx1"/>
            </w14:solidFill>
          </w14:textFill>
        </w:rPr>
        <w:t>增加</w:t>
      </w:r>
      <w:r>
        <w:rPr>
          <w:rFonts w:hint="eastAsia" w:ascii="仿宋_GB2312" w:eastAsia="仿宋_GB2312"/>
          <w:color w:val="000000" w:themeColor="text1"/>
          <w:sz w:val="30"/>
          <w:szCs w:val="30"/>
          <w14:textFill>
            <w14:solidFill>
              <w14:schemeClr w14:val="tx1"/>
            </w14:solidFill>
          </w14:textFill>
        </w:rPr>
        <w:t xml:space="preserve"> </w:t>
      </w:r>
      <w:r>
        <w:rPr>
          <w:rFonts w:hint="eastAsia" w:ascii="仿宋_GB2312" w:eastAsia="仿宋_GB2312"/>
          <w:color w:val="000000" w:themeColor="text1"/>
          <w:sz w:val="30"/>
          <w:szCs w:val="30"/>
          <w:lang w:val="en-US" w:eastAsia="zh-CN"/>
          <w14:textFill>
            <w14:solidFill>
              <w14:schemeClr w14:val="tx1"/>
            </w14:solidFill>
          </w14:textFill>
        </w:rPr>
        <w:t>18087196.88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预算追加</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sz w:val="32"/>
          <w:szCs w:val="32"/>
        </w:rPr>
        <w:fldChar w:fldCharType="end"/>
      </w:r>
    </w:p>
    <w:p>
      <w:pPr>
        <w:pStyle w:val="2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自然资源海洋气象等支出41455230.5</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47.41</w:t>
      </w:r>
      <w:r>
        <w:rPr>
          <w:rFonts w:hint="eastAsia" w:ascii="仿宋_GB2312" w:hAnsi="仿宋_GB2312" w:eastAsia="仿宋_GB2312" w:cs="仿宋_GB2312"/>
          <w:color w:val="000000"/>
          <w:spacing w:val="0"/>
          <w:w w:val="100"/>
          <w:position w:val="0"/>
          <w:sz w:val="32"/>
          <w:szCs w:val="32"/>
        </w:rPr>
        <w:t>%,</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val="en-US" w:eastAsia="zh-CN"/>
          <w14:textFill>
            <w14:solidFill>
              <w14:schemeClr w14:val="tx1"/>
            </w14:solidFill>
          </w14:textFill>
        </w:rPr>
        <w:t>增加29128549.5</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预算追加</w:t>
      </w:r>
      <w:r>
        <w:rPr>
          <w:rFonts w:hint="eastAsia" w:ascii="仿宋_GB2312" w:hAnsi="仿宋_GB2312" w:eastAsia="仿宋_GB2312" w:cs="仿宋_GB2312"/>
          <w:color w:val="000000"/>
          <w:spacing w:val="0"/>
          <w:w w:val="100"/>
          <w:position w:val="0"/>
          <w:sz w:val="32"/>
          <w:szCs w:val="32"/>
          <w:lang w:val="en-US" w:eastAsia="zh-CN"/>
        </w:rPr>
        <w:t>。</w:t>
      </w:r>
    </w:p>
    <w:p>
      <w:pPr>
        <w:pStyle w:val="2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灾害防治及应急管理支出13977127.7</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15.95</w:t>
      </w:r>
      <w:r>
        <w:rPr>
          <w:rFonts w:hint="eastAsia" w:ascii="仿宋_GB2312" w:hAnsi="仿宋_GB2312" w:eastAsia="仿宋_GB2312" w:cs="仿宋_GB2312"/>
          <w:color w:val="000000"/>
          <w:spacing w:val="0"/>
          <w:w w:val="100"/>
          <w:position w:val="0"/>
          <w:sz w:val="32"/>
          <w:szCs w:val="32"/>
        </w:rPr>
        <w:t>%,</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val="en-US" w:eastAsia="zh-CN"/>
          <w14:textFill>
            <w14:solidFill>
              <w14:schemeClr w14:val="tx1"/>
            </w14:solidFill>
          </w14:textFill>
        </w:rPr>
        <w:t>增加</w:t>
      </w:r>
      <w:r>
        <w:rPr>
          <w:rFonts w:hint="eastAsia" w:ascii="仿宋_GB2312" w:eastAsia="仿宋_GB2312"/>
          <w:color w:val="000000" w:themeColor="text1"/>
          <w:sz w:val="30"/>
          <w:szCs w:val="30"/>
          <w14:textFill>
            <w14:solidFill>
              <w14:schemeClr w14:val="tx1"/>
            </w14:solidFill>
          </w14:textFill>
        </w:rPr>
        <w:t xml:space="preserve"> </w:t>
      </w:r>
      <w:r>
        <w:rPr>
          <w:rFonts w:hint="eastAsia" w:ascii="仿宋_GB2312" w:hAnsi="仿宋_GB2312" w:eastAsia="仿宋_GB2312" w:cs="仿宋_GB2312"/>
          <w:sz w:val="32"/>
          <w:szCs w:val="32"/>
        </w:rPr>
        <w:t>13977127.7</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预算追加</w:t>
      </w:r>
      <w:r>
        <w:rPr>
          <w:rFonts w:hint="eastAsia" w:ascii="仿宋_GB2312" w:hAnsi="仿宋_GB2312" w:eastAsia="仿宋_GB2312" w:cs="仿宋_GB2312"/>
          <w:color w:val="000000"/>
          <w:spacing w:val="0"/>
          <w:w w:val="100"/>
          <w:position w:val="0"/>
          <w:sz w:val="32"/>
          <w:szCs w:val="32"/>
          <w:lang w:val="en-US" w:eastAsia="zh-CN"/>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5"/>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bidi="en-US"/>
        </w:rPr>
        <w:t>15818549.88</w:t>
      </w:r>
      <w:r>
        <w:rPr>
          <w:rFonts w:hint="eastAsia" w:ascii="仿宋_GB2312" w:hAnsi="仿宋_GB2312" w:eastAsia="仿宋_GB2312" w:cs="仿宋_GB2312"/>
          <w:color w:val="000000"/>
          <w:spacing w:val="0"/>
          <w:w w:val="100"/>
          <w:position w:val="0"/>
          <w:sz w:val="32"/>
          <w:szCs w:val="32"/>
        </w:rPr>
        <w:t>元。其中：人员经费</w:t>
      </w:r>
      <w:r>
        <w:rPr>
          <w:rFonts w:hint="eastAsia" w:ascii="仿宋_GB2312" w:hAnsi="仿宋_GB2312" w:eastAsia="仿宋_GB2312" w:cs="仿宋_GB2312"/>
          <w:color w:val="000000"/>
          <w:spacing w:val="0"/>
          <w:w w:val="100"/>
          <w:position w:val="0"/>
          <w:sz w:val="32"/>
          <w:szCs w:val="32"/>
          <w:lang w:val="en-US" w:eastAsia="zh-CN"/>
        </w:rPr>
        <w:t>10198180.81</w:t>
      </w:r>
      <w:r>
        <w:rPr>
          <w:rFonts w:hint="eastAsia" w:ascii="仿宋_GB2312" w:hAnsi="仿宋_GB2312" w:eastAsia="仿宋_GB2312" w:cs="仿宋_GB2312"/>
          <w:color w:val="000000"/>
          <w:spacing w:val="0"/>
          <w:w w:val="100"/>
          <w:position w:val="0"/>
          <w:sz w:val="32"/>
          <w:szCs w:val="32"/>
        </w:rPr>
        <w:t>元，较上年</w:t>
      </w:r>
      <w:r>
        <w:rPr>
          <w:rFonts w:hint="eastAsia" w:ascii="仿宋_GB2312" w:hAnsi="仿宋_GB2312" w:eastAsia="仿宋_GB2312" w:cs="仿宋_GB2312"/>
          <w:color w:val="000000"/>
          <w:spacing w:val="0"/>
          <w:w w:val="100"/>
          <w:position w:val="0"/>
          <w:sz w:val="32"/>
          <w:szCs w:val="32"/>
          <w:lang w:val="en-US" w:eastAsia="zh-CN"/>
        </w:rPr>
        <w:t>减少   元</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人员减少</w:t>
      </w:r>
      <w:r>
        <w:rPr>
          <w:rFonts w:hint="eastAsia" w:ascii="仿宋_GB2312" w:hAnsi="仿宋_GB2312" w:eastAsia="仿宋_GB2312" w:cs="仿宋_GB2312"/>
          <w:color w:val="000000"/>
          <w:spacing w:val="0"/>
          <w:w w:val="100"/>
          <w:position w:val="0"/>
          <w:sz w:val="32"/>
          <w:szCs w:val="32"/>
        </w:rPr>
        <w:t>。人员经费用途主要包括基本工资、津贴补贴、奖金、社会保障缴费等</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w:t>
      </w:r>
      <w:r>
        <w:rPr>
          <w:rFonts w:hint="eastAsia" w:ascii="仿宋_GB2312" w:hAnsi="仿宋_GB2312" w:eastAsia="仿宋_GB2312" w:cs="仿宋_GB2312"/>
          <w:color w:val="000000"/>
          <w:spacing w:val="0"/>
          <w:w w:val="100"/>
          <w:position w:val="0"/>
          <w:sz w:val="32"/>
          <w:szCs w:val="32"/>
          <w:lang w:val="en-US" w:eastAsia="zh-CN"/>
        </w:rPr>
        <w:t>5620369.07</w:t>
      </w:r>
      <w:r>
        <w:rPr>
          <w:rFonts w:hint="eastAsia" w:ascii="仿宋_GB2312" w:hAnsi="仿宋_GB2312" w:eastAsia="仿宋_GB2312" w:cs="仿宋_GB2312"/>
          <w:color w:val="000000"/>
          <w:spacing w:val="0"/>
          <w:w w:val="100"/>
          <w:position w:val="0"/>
          <w:sz w:val="32"/>
          <w:szCs w:val="32"/>
        </w:rPr>
        <w:t>元，公用经费用途主要包括办公费、</w:t>
      </w:r>
      <w:r>
        <w:rPr>
          <w:rFonts w:hint="eastAsia" w:ascii="仿宋_GB2312" w:hAnsi="仿宋_GB2312" w:eastAsia="仿宋_GB2312" w:cs="仿宋_GB2312"/>
          <w:color w:val="000000"/>
          <w:spacing w:val="0"/>
          <w:w w:val="100"/>
          <w:position w:val="0"/>
          <w:sz w:val="32"/>
          <w:szCs w:val="32"/>
          <w:lang w:val="en-US" w:eastAsia="zh-CN"/>
        </w:rPr>
        <w:t>电费、水费、取暖费、劳务费、其他交通费用</w:t>
      </w:r>
      <w:r>
        <w:rPr>
          <w:rFonts w:hint="eastAsia" w:ascii="仿宋_GB2312" w:hAnsi="仿宋_GB2312" w:eastAsia="仿宋_GB2312" w:cs="仿宋_GB2312"/>
          <w:color w:val="000000"/>
          <w:spacing w:val="0"/>
          <w:w w:val="100"/>
          <w:position w:val="0"/>
          <w:sz w:val="32"/>
          <w:szCs w:val="32"/>
        </w:rPr>
        <w:t>等）。</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5"/>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5"/>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0元</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减少0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只运行垃圾车辆。</w:t>
      </w:r>
    </w:p>
    <w:p>
      <w:pPr>
        <w:pStyle w:val="15"/>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5"/>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5"/>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元,费用支出较年初预算数</w:t>
      </w:r>
      <w:r>
        <w:rPr>
          <w:rFonts w:hint="eastAsia" w:ascii="仿宋_GB2312" w:hAnsi="仿宋_GB2312" w:eastAsia="仿宋_GB2312" w:cs="仿宋_GB2312"/>
          <w:color w:val="000000"/>
          <w:spacing w:val="0"/>
          <w:w w:val="100"/>
          <w:position w:val="0"/>
          <w:sz w:val="32"/>
          <w:szCs w:val="32"/>
          <w:lang w:val="en-US" w:eastAsia="zh-CN"/>
        </w:rPr>
        <w:t>减少0元</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只运行垃圾车辆。</w:t>
      </w:r>
    </w:p>
    <w:p>
      <w:pPr>
        <w:pStyle w:val="15"/>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0</w:t>
      </w:r>
    </w:p>
    <w:p>
      <w:pPr>
        <w:pStyle w:val="15"/>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0元</w:t>
      </w:r>
      <w:r>
        <w:rPr>
          <w:rFonts w:hint="eastAsia" w:ascii="仿宋_GB2312" w:hAnsi="仿宋_GB2312" w:eastAsia="仿宋_GB2312" w:cs="仿宋_GB2312"/>
          <w:color w:val="000000"/>
          <w:spacing w:val="0"/>
          <w:w w:val="100"/>
          <w:position w:val="0"/>
          <w:sz w:val="32"/>
          <w:szCs w:val="32"/>
          <w:lang w:val="en-US" w:eastAsia="zh-CN"/>
        </w:rPr>
        <w:t>。</w:t>
      </w:r>
    </w:p>
    <w:p>
      <w:pPr>
        <w:pStyle w:val="15"/>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leftChars="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5"/>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5"/>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0人</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5"/>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5"/>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年本单位机关运行经费支出</w:t>
      </w:r>
      <w:r>
        <w:rPr>
          <w:rFonts w:hint="eastAsia" w:ascii="仿宋_GB2312" w:hAnsi="仿宋_GB2312" w:eastAsia="仿宋_GB2312" w:cs="仿宋_GB2312"/>
          <w:color w:val="000000"/>
          <w:spacing w:val="0"/>
          <w:w w:val="100"/>
          <w:position w:val="0"/>
          <w:sz w:val="32"/>
          <w:szCs w:val="32"/>
          <w:lang w:val="en-US" w:eastAsia="zh-CN"/>
        </w:rPr>
        <w:t>39.2万</w:t>
      </w:r>
      <w:r>
        <w:rPr>
          <w:rFonts w:hint="eastAsia" w:ascii="仿宋_GB2312" w:hAnsi="仿宋_GB2312" w:eastAsia="仿宋_GB2312" w:cs="仿宋_GB2312"/>
          <w:color w:val="000000"/>
          <w:spacing w:val="0"/>
          <w:w w:val="100"/>
          <w:position w:val="0"/>
          <w:sz w:val="32"/>
          <w:szCs w:val="32"/>
        </w:rPr>
        <w:t>元，机关运行经费主要用于开支主要用于办公费、</w:t>
      </w:r>
      <w:r>
        <w:rPr>
          <w:rFonts w:hint="eastAsia" w:ascii="仿宋_GB2312" w:hAnsi="仿宋_GB2312" w:eastAsia="仿宋_GB2312" w:cs="仿宋_GB2312"/>
          <w:color w:val="000000"/>
          <w:spacing w:val="0"/>
          <w:w w:val="100"/>
          <w:position w:val="0"/>
          <w:sz w:val="32"/>
          <w:szCs w:val="32"/>
          <w:lang w:val="en-US" w:eastAsia="zh-CN"/>
        </w:rPr>
        <w:t>水电费、取暖费、劳务费、其他交通费用等</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年12月31日，本单位共有车辆</w:t>
      </w:r>
      <w:r>
        <w:rPr>
          <w:rFonts w:hint="eastAsia" w:ascii="仿宋_GB2312" w:hAnsi="仿宋_GB2312" w:eastAsia="仿宋_GB2312" w:cs="仿宋_GB2312"/>
          <w:color w:val="000000"/>
          <w:spacing w:val="0"/>
          <w:w w:val="100"/>
          <w:position w:val="0"/>
          <w:sz w:val="32"/>
          <w:szCs w:val="32"/>
          <w:lang w:val="en-US" w:eastAsia="zh-CN" w:bidi="en-US"/>
        </w:rPr>
        <w:t>3</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辆,其他用车主要是</w:t>
      </w:r>
      <w:r>
        <w:rPr>
          <w:rFonts w:hint="eastAsia" w:ascii="仿宋_GB2312" w:hAnsi="仿宋_GB2312" w:eastAsia="仿宋_GB2312" w:cs="仿宋_GB2312"/>
          <w:color w:val="000000"/>
          <w:spacing w:val="0"/>
          <w:w w:val="100"/>
          <w:position w:val="0"/>
          <w:sz w:val="32"/>
          <w:szCs w:val="32"/>
          <w:lang w:val="en-US" w:eastAsia="zh-CN"/>
        </w:rPr>
        <w:t>垃圾车</w:t>
      </w:r>
      <w:r>
        <w:rPr>
          <w:rFonts w:hint="eastAsia" w:ascii="仿宋_GB2312" w:hAnsi="仿宋_GB2312" w:eastAsia="仿宋_GB2312" w:cs="仿宋_GB2312"/>
          <w:color w:val="000000"/>
          <w:spacing w:val="0"/>
          <w:w w:val="100"/>
          <w:position w:val="0"/>
          <w:sz w:val="32"/>
          <w:szCs w:val="32"/>
        </w:rPr>
        <w:t>。单价50万元以上通用设备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5"/>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年本单位政府采购支出合计</w:t>
      </w:r>
      <w:r>
        <w:rPr>
          <w:rFonts w:hint="eastAsia" w:ascii="仿宋_GB2312" w:hAnsi="仿宋_GB2312" w:eastAsia="仿宋_GB2312" w:cs="仿宋_GB2312"/>
          <w:color w:val="000000"/>
          <w:spacing w:val="0"/>
          <w:w w:val="100"/>
          <w:position w:val="0"/>
          <w:sz w:val="32"/>
          <w:szCs w:val="32"/>
          <w:lang w:val="en-US" w:eastAsia="zh-CN" w:bidi="en-US"/>
        </w:rPr>
        <w:t>152689</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152689</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5"/>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120657708.86</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101849469.86</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bidi="en-US"/>
        </w:rPr>
        <w:t>18808239</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.主要用于项目征地款。</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color w:val="000000"/>
          <w:spacing w:val="0"/>
          <w:w w:val="100"/>
          <w:position w:val="0"/>
          <w:sz w:val="32"/>
          <w:szCs w:val="32"/>
          <w:lang w:eastAsia="zh-CN"/>
        </w:rPr>
        <w:t>。</w:t>
      </w:r>
    </w:p>
    <w:p>
      <w:pPr>
        <w:pStyle w:val="15"/>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 w:hAnsi="仿宋" w:eastAsia="仿宋" w:cs="仿宋"/>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643" w:firstLineChars="200"/>
        <w:jc w:val="left"/>
        <w:textAlignment w:val="auto"/>
        <w:rPr>
          <w:rFonts w:hint="eastAsia" w:ascii="仿宋" w:hAnsi="仿宋" w:eastAsia="仿宋" w:cs="仿宋"/>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（一）预算绩效管理工作开展情况：</w:t>
      </w:r>
      <w:r>
        <w:rPr>
          <w:rFonts w:hint="eastAsia" w:ascii="仿宋" w:hAnsi="仿宋" w:eastAsia="仿宋" w:cs="仿宋"/>
          <w:bCs/>
          <w:kern w:val="0"/>
          <w:sz w:val="32"/>
          <w:szCs w:val="32"/>
          <w:lang w:eastAsia="zh-CN"/>
        </w:rPr>
        <w:t>东乡族自治县自然资源局，</w:t>
      </w:r>
      <w:r>
        <w:rPr>
          <w:rFonts w:hint="eastAsia" w:ascii="仿宋" w:hAnsi="仿宋" w:eastAsia="仿宋" w:cs="仿宋"/>
          <w:sz w:val="32"/>
          <w:szCs w:val="32"/>
        </w:rPr>
        <w:t>成立</w:t>
      </w:r>
      <w:r>
        <w:rPr>
          <w:rFonts w:hint="eastAsia" w:ascii="仿宋" w:hAnsi="仿宋" w:eastAsia="仿宋" w:cs="仿宋"/>
          <w:sz w:val="32"/>
          <w:szCs w:val="32"/>
          <w:lang w:val="en-US" w:eastAsia="zh-CN"/>
        </w:rPr>
        <w:t>于</w:t>
      </w:r>
      <w:r>
        <w:rPr>
          <w:rFonts w:hint="eastAsia" w:ascii="仿宋" w:hAnsi="仿宋" w:eastAsia="仿宋" w:cs="仿宋"/>
          <w:sz w:val="32"/>
          <w:szCs w:val="32"/>
        </w:rPr>
        <w:t>20</w:t>
      </w:r>
      <w:r>
        <w:rPr>
          <w:rFonts w:hint="eastAsia" w:ascii="仿宋" w:hAnsi="仿宋" w:eastAsia="仿宋" w:cs="仿宋"/>
          <w:sz w:val="32"/>
          <w:szCs w:val="32"/>
          <w:lang w:val="en-US" w:eastAsia="zh-CN"/>
        </w:rPr>
        <w:t>19</w:t>
      </w:r>
      <w:r>
        <w:rPr>
          <w:rFonts w:hint="eastAsia" w:ascii="仿宋" w:hAnsi="仿宋" w:eastAsia="仿宋" w:cs="仿宋"/>
          <w:sz w:val="32"/>
          <w:szCs w:val="32"/>
        </w:rPr>
        <w:t>年</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eastAsia="zh-CN"/>
        </w:rPr>
        <w:t>。</w:t>
      </w:r>
      <w:r>
        <w:rPr>
          <w:rFonts w:hint="eastAsia" w:ascii="仿宋" w:hAnsi="仿宋" w:eastAsia="仿宋" w:cs="仿宋"/>
          <w:sz w:val="32"/>
          <w:szCs w:val="32"/>
        </w:rPr>
        <w:t>是</w:t>
      </w:r>
      <w:r>
        <w:rPr>
          <w:rFonts w:hint="eastAsia" w:ascii="仿宋" w:hAnsi="仿宋" w:eastAsia="仿宋" w:cs="仿宋"/>
          <w:sz w:val="32"/>
          <w:szCs w:val="32"/>
          <w:lang w:val="en-US" w:eastAsia="zh-CN"/>
        </w:rPr>
        <w:t>东乡县</w:t>
      </w:r>
      <w:r>
        <w:rPr>
          <w:rFonts w:hint="eastAsia" w:ascii="仿宋" w:hAnsi="仿宋" w:eastAsia="仿宋" w:cs="仿宋"/>
          <w:sz w:val="32"/>
          <w:szCs w:val="32"/>
        </w:rPr>
        <w:t>政府组成部门，为正科级。</w:t>
      </w:r>
      <w:r>
        <w:rPr>
          <w:rFonts w:hint="eastAsia" w:ascii="仿宋" w:hAnsi="仿宋" w:eastAsia="仿宋" w:cs="仿宋"/>
          <w:color w:val="000000"/>
          <w:kern w:val="0"/>
          <w:sz w:val="32"/>
          <w:szCs w:val="32"/>
          <w:lang w:val="en-US" w:eastAsia="zh-CN" w:bidi="ar"/>
        </w:rPr>
        <w:t>县自然资源局贯彻落实中央、省、州关于统一行使全民所有自然资源资产所有者职责，统一行使所有国土空间用途管制和生态保护修复职责的要求，按照省委省政府、州委州政府、县委县政府的部署，发挥国土空间规划的管控作用，进一步加强自然资源的保护和合理开发利用，建立健全源头保护和全过程修复治理相结合的工作机制，实现整体保护、系统修复、综合治理。创新激励约束并举的制度措施，推进自然资源节约集约利用。进一步精简下放有关行政审批事项、强化监管力度，充分发挥市场对资源配置的决定性作用，更好发挥政府作用，强化自然资源管理规则、标准、制度的约束性作用，推进自然资源确权登记和评估的便民高效。</w:t>
      </w:r>
    </w:p>
    <w:p>
      <w:pPr>
        <w:keepNext w:val="0"/>
        <w:keepLines w:val="0"/>
        <w:pageBreakBefore w:val="0"/>
        <w:widowControl/>
        <w:suppressLineNumbers w:val="0"/>
        <w:shd w:val="clear" w:color="auto" w:fill="auto"/>
        <w:kinsoku/>
        <w:wordWrap/>
        <w:overflowPunct/>
        <w:topLinePunct w:val="0"/>
        <w:autoSpaceDE/>
        <w:autoSpaceDN/>
        <w:bidi w:val="0"/>
        <w:spacing w:line="70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sz w:val="32"/>
          <w:szCs w:val="32"/>
          <w:lang w:val="en-US" w:eastAsia="zh-CN"/>
        </w:rPr>
        <w:t>根据《中华人民共和国土地管理法实施条例》、《甘肃省土地征收程序暂行规定》等法律法规及州政府办《关于进一步规范征地管理工作的通知》（临州办发〔2021〕88号）文件精神，依法依规全面开展土地征收工作，结合东乡县实际，进一步盘活土地市场和加大对储备土地资源的整合力度，提高东乡县土地利用率。2021年共发放征地补偿款15236万元，征收土地面积5020.2896亩，涉及项目47个，被征地农民4563户。通过甘肃省农村信用合作联社、邮储银行、甘肃银行</w:t>
      </w:r>
      <w:r>
        <w:rPr>
          <w:rFonts w:hint="eastAsia" w:ascii="仿宋" w:hAnsi="仿宋" w:eastAsia="仿宋" w:cs="仿宋"/>
          <w:color w:val="000000"/>
          <w:kern w:val="0"/>
          <w:sz w:val="32"/>
          <w:szCs w:val="32"/>
          <w:lang w:val="en-US" w:eastAsia="zh-CN" w:bidi="ar"/>
        </w:rPr>
        <w:t>存折形式发放给被征地农民。</w:t>
      </w:r>
    </w:p>
    <w:p>
      <w:pPr>
        <w:keepNext w:val="0"/>
        <w:keepLines w:val="0"/>
        <w:pageBreakBefore w:val="0"/>
        <w:widowControl/>
        <w:suppressLineNumbers w:val="0"/>
        <w:shd w:val="clear" w:color="auto" w:fill="auto"/>
        <w:kinsoku/>
        <w:wordWrap/>
        <w:overflowPunct/>
        <w:topLinePunct w:val="0"/>
        <w:autoSpaceDE/>
        <w:autoSpaceDN/>
        <w:bidi w:val="0"/>
        <w:spacing w:line="70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东乡县沿洮河经济带开发建设项目涉及达板镇达板村、上科妥村、下科妥村、甘家村、崔家村、拱北滩村、红庄村、舀水村、陈家村、红柳村、黑石山村等11个村。截至</w:t>
      </w:r>
      <w:bookmarkStart w:id="17" w:name="_GoBack"/>
      <w:bookmarkEnd w:id="17"/>
      <w:r>
        <w:rPr>
          <w:rFonts w:hint="eastAsia" w:ascii="仿宋" w:hAnsi="仿宋" w:eastAsia="仿宋" w:cs="仿宋"/>
          <w:color w:val="000000"/>
          <w:kern w:val="0"/>
          <w:sz w:val="32"/>
          <w:szCs w:val="32"/>
          <w:lang w:val="en-US" w:eastAsia="zh-CN" w:bidi="ar"/>
        </w:rPr>
        <w:t>目前共完成征地8916.665亩（其中前期征地8120.284亩，涉及5504户20418人，近期征地796.381亩），征地补偿款共计8.8606亿元，已发放征地补偿款8.1199亿元，未发放征地补偿款0.7407亿元。</w:t>
      </w:r>
      <w:r>
        <w:rPr>
          <w:rFonts w:hint="eastAsia" w:ascii="仿宋" w:hAnsi="仿宋" w:eastAsia="仿宋" w:cs="仿宋"/>
          <w:color w:val="000000"/>
          <w:kern w:val="0"/>
          <w:sz w:val="32"/>
          <w:szCs w:val="32"/>
          <w:lang w:val="en-US" w:eastAsia="zh-CN" w:bidi="ar"/>
        </w:rPr>
        <w:br w:type="textWrapping"/>
      </w:r>
      <w:r>
        <w:rPr>
          <w:rFonts w:hint="eastAsia" w:ascii="仿宋" w:hAnsi="仿宋" w:eastAsia="仿宋" w:cs="仿宋"/>
          <w:color w:val="000000"/>
          <w:kern w:val="0"/>
          <w:sz w:val="32"/>
          <w:szCs w:val="32"/>
          <w:lang w:val="en-US" w:eastAsia="zh-CN" w:bidi="ar"/>
        </w:rPr>
        <w:t xml:space="preserve">    临洮（安家咀）至临夏一级公路建设项目涉及达板镇、果园镇等10个乡镇42个村，征地面积4758.581亩，</w:t>
      </w:r>
      <w:r>
        <w:rPr>
          <w:rFonts w:hint="default" w:ascii="仿宋" w:hAnsi="仿宋" w:eastAsia="仿宋" w:cs="仿宋"/>
          <w:color w:val="000000"/>
          <w:kern w:val="0"/>
          <w:sz w:val="32"/>
          <w:szCs w:val="32"/>
          <w:lang w:val="en-US" w:eastAsia="zh-CN" w:bidi="ar"/>
        </w:rPr>
        <w:t>征地补偿款共计</w:t>
      </w:r>
      <w:r>
        <w:rPr>
          <w:rFonts w:hint="eastAsia" w:ascii="仿宋" w:hAnsi="仿宋" w:eastAsia="仿宋" w:cs="仿宋"/>
          <w:color w:val="000000"/>
          <w:kern w:val="0"/>
          <w:sz w:val="32"/>
          <w:szCs w:val="32"/>
          <w:lang w:val="en-US" w:eastAsia="zh-CN" w:bidi="ar"/>
        </w:rPr>
        <w:t>29054.7349万元</w:t>
      </w:r>
    </w:p>
    <w:p>
      <w:pPr>
        <w:keepNext w:val="0"/>
        <w:keepLines w:val="0"/>
        <w:pageBreakBefore w:val="0"/>
        <w:widowControl/>
        <w:suppressLineNumbers w:val="0"/>
        <w:shd w:val="clear" w:color="auto" w:fill="auto"/>
        <w:kinsoku/>
        <w:wordWrap/>
        <w:overflowPunct/>
        <w:topLinePunct w:val="0"/>
        <w:autoSpaceDE/>
        <w:autoSpaceDN/>
        <w:bidi w:val="0"/>
        <w:spacing w:line="700" w:lineRule="exact"/>
        <w:ind w:firstLine="640" w:firstLineChars="200"/>
        <w:jc w:val="left"/>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唐达二级公路建设项目涉及达板镇达板社区、红庄村、红柳村、舀水村、黑石山村，唐汪镇唐家社区、汪家社区、马巷村、张家村、舀水村、胡浪村、白咀村、河沿村、塔石沟村、照壁山村等2个乡镇15个村，共计1152户5318人，征地面积712.584亩，</w:t>
      </w:r>
      <w:r>
        <w:rPr>
          <w:rFonts w:hint="default" w:ascii="仿宋" w:hAnsi="仿宋" w:eastAsia="仿宋" w:cs="仿宋"/>
          <w:color w:val="000000"/>
          <w:kern w:val="0"/>
          <w:sz w:val="32"/>
          <w:szCs w:val="32"/>
          <w:lang w:val="en-US" w:eastAsia="zh-CN" w:bidi="ar"/>
        </w:rPr>
        <w:t>征地补偿款共计</w:t>
      </w:r>
      <w:r>
        <w:rPr>
          <w:rFonts w:hint="eastAsia" w:ascii="仿宋" w:hAnsi="仿宋" w:eastAsia="仿宋" w:cs="仿宋"/>
          <w:color w:val="000000"/>
          <w:kern w:val="0"/>
          <w:sz w:val="32"/>
          <w:szCs w:val="32"/>
          <w:lang w:val="en-US" w:eastAsia="zh-CN" w:bidi="ar"/>
        </w:rPr>
        <w:t>3135.0689万</w:t>
      </w:r>
      <w:r>
        <w:rPr>
          <w:rFonts w:hint="default" w:ascii="仿宋" w:hAnsi="仿宋" w:eastAsia="仿宋" w:cs="仿宋"/>
          <w:color w:val="000000"/>
          <w:kern w:val="0"/>
          <w:sz w:val="32"/>
          <w:szCs w:val="32"/>
          <w:lang w:val="en-US" w:eastAsia="zh-CN" w:bidi="ar"/>
        </w:rPr>
        <w:t>元</w:t>
      </w:r>
      <w:r>
        <w:rPr>
          <w:rFonts w:hint="eastAsia" w:ascii="仿宋" w:hAnsi="仿宋" w:eastAsia="仿宋" w:cs="仿宋"/>
          <w:color w:val="000000"/>
          <w:kern w:val="0"/>
          <w:sz w:val="32"/>
          <w:szCs w:val="32"/>
          <w:lang w:val="en-US" w:eastAsia="zh-CN" w:bidi="ar"/>
        </w:rPr>
        <w:t>。</w:t>
      </w:r>
    </w:p>
    <w:p>
      <w:pPr>
        <w:keepNext w:val="0"/>
        <w:keepLines w:val="0"/>
        <w:pageBreakBefore w:val="0"/>
        <w:widowControl/>
        <w:suppressLineNumbers w:val="0"/>
        <w:shd w:val="clear" w:color="auto" w:fill="auto"/>
        <w:kinsoku/>
        <w:wordWrap/>
        <w:overflowPunct/>
        <w:topLinePunct w:val="0"/>
        <w:autoSpaceDE/>
        <w:autoSpaceDN/>
        <w:bidi w:val="0"/>
        <w:spacing w:line="700" w:lineRule="exact"/>
        <w:ind w:firstLine="640" w:firstLineChars="200"/>
        <w:jc w:val="left"/>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东塬农家乐群项目涉及东塬乡东塬村、林家村，共115户625人，征地面积153.308亩，</w:t>
      </w:r>
      <w:r>
        <w:rPr>
          <w:rFonts w:hint="default" w:ascii="仿宋" w:hAnsi="仿宋" w:eastAsia="仿宋" w:cs="仿宋"/>
          <w:color w:val="000000"/>
          <w:kern w:val="0"/>
          <w:sz w:val="32"/>
          <w:szCs w:val="32"/>
          <w:lang w:val="en-US" w:eastAsia="zh-CN" w:bidi="ar"/>
        </w:rPr>
        <w:t>征地补偿款共计</w:t>
      </w:r>
      <w:r>
        <w:rPr>
          <w:rFonts w:hint="eastAsia" w:ascii="仿宋" w:hAnsi="仿宋" w:eastAsia="仿宋" w:cs="仿宋"/>
          <w:color w:val="000000"/>
          <w:kern w:val="0"/>
          <w:sz w:val="32"/>
          <w:szCs w:val="32"/>
          <w:lang w:val="en-US" w:eastAsia="zh-CN" w:bidi="ar"/>
        </w:rPr>
        <w:t>921.8172万</w:t>
      </w:r>
      <w:r>
        <w:rPr>
          <w:rFonts w:hint="default" w:ascii="仿宋" w:hAnsi="仿宋" w:eastAsia="仿宋" w:cs="仿宋"/>
          <w:color w:val="000000"/>
          <w:kern w:val="0"/>
          <w:sz w:val="32"/>
          <w:szCs w:val="32"/>
          <w:lang w:val="en-US" w:eastAsia="zh-CN" w:bidi="ar"/>
        </w:rPr>
        <w:t>元</w:t>
      </w:r>
      <w:r>
        <w:rPr>
          <w:rFonts w:hint="eastAsia" w:ascii="仿宋" w:hAnsi="仿宋" w:eastAsia="仿宋" w:cs="仿宋"/>
          <w:color w:val="000000"/>
          <w:kern w:val="0"/>
          <w:sz w:val="32"/>
          <w:szCs w:val="32"/>
          <w:lang w:val="en-US" w:eastAsia="zh-CN" w:bidi="ar"/>
        </w:rPr>
        <w:t>，</w:t>
      </w:r>
    </w:p>
    <w:p>
      <w:pPr>
        <w:keepNext w:val="0"/>
        <w:keepLines w:val="0"/>
        <w:pageBreakBefore w:val="0"/>
        <w:widowControl/>
        <w:suppressLineNumbers w:val="0"/>
        <w:shd w:val="clear" w:color="auto" w:fill="auto"/>
        <w:kinsoku/>
        <w:wordWrap/>
        <w:overflowPunct/>
        <w:topLinePunct w:val="0"/>
        <w:autoSpaceDE/>
        <w:autoSpaceDN/>
        <w:bidi w:val="0"/>
        <w:spacing w:line="700" w:lineRule="exact"/>
        <w:ind w:firstLine="640" w:firstLineChars="200"/>
        <w:jc w:val="left"/>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黑石山建材厂项目位于唐汪镇张家村、马巷村交界处，共涉及36户138人，征地面积85.169亩，其中：旱地41.42亩，未利用地43.749亩，补偿款已全部发放。</w:t>
      </w:r>
    </w:p>
    <w:p>
      <w:pPr>
        <w:keepNext w:val="0"/>
        <w:keepLines w:val="0"/>
        <w:pageBreakBefore w:val="0"/>
        <w:widowControl/>
        <w:suppressLineNumbers w:val="0"/>
        <w:shd w:val="clear" w:color="auto" w:fill="auto"/>
        <w:kinsoku/>
        <w:wordWrap/>
        <w:overflowPunct/>
        <w:topLinePunct w:val="0"/>
        <w:autoSpaceDE/>
        <w:autoSpaceDN/>
        <w:bidi w:val="0"/>
        <w:spacing w:line="70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唐汪污水处理厂项目位于唐汪镇白咀村，共涉及62户287人，总征地面积水浇地41.607亩，补偿款已全部发放，。</w:t>
      </w:r>
    </w:p>
    <w:p>
      <w:pPr>
        <w:keepNext w:val="0"/>
        <w:keepLines w:val="0"/>
        <w:pageBreakBefore w:val="0"/>
        <w:widowControl/>
        <w:suppressLineNumbers w:val="0"/>
        <w:shd w:val="clear" w:color="auto" w:fill="auto"/>
        <w:kinsoku/>
        <w:wordWrap/>
        <w:overflowPunct/>
        <w:topLinePunct w:val="0"/>
        <w:autoSpaceDE/>
        <w:autoSpaceDN/>
        <w:bidi w:val="0"/>
        <w:spacing w:line="700" w:lineRule="exact"/>
        <w:ind w:firstLine="640" w:firstLineChars="200"/>
        <w:jc w:val="left"/>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东乡县南阳渠提质增效及水系连通工程项目涉及达板镇上科妥村、那勒寺镇上哈力村、达板空村，共162户578人，征地面积130.654亩，征地补偿款已发放490.4734万元。</w:t>
      </w:r>
    </w:p>
    <w:p>
      <w:pPr>
        <w:keepNext w:val="0"/>
        <w:keepLines w:val="0"/>
        <w:pageBreakBefore w:val="0"/>
        <w:widowControl/>
        <w:suppressLineNumbers w:val="0"/>
        <w:shd w:val="clear" w:color="auto" w:fill="auto"/>
        <w:kinsoku/>
        <w:wordWrap/>
        <w:overflowPunct/>
        <w:topLinePunct w:val="0"/>
        <w:autoSpaceDE/>
        <w:autoSpaceDN/>
        <w:bidi w:val="0"/>
        <w:spacing w:line="70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林家遗址文物保护利用设施建设项目位于东塬乡林家村，共涉及3户14人，征地面积3.891亩，补偿款已全部发放，共计发放征地补偿款22.4247万元。</w:t>
      </w:r>
    </w:p>
    <w:p>
      <w:pPr>
        <w:keepNext w:val="0"/>
        <w:keepLines w:val="0"/>
        <w:pageBreakBefore w:val="0"/>
        <w:widowControl/>
        <w:suppressLineNumbers w:val="0"/>
        <w:shd w:val="clear" w:color="auto" w:fill="auto"/>
        <w:kinsoku/>
        <w:wordWrap/>
        <w:overflowPunct/>
        <w:topLinePunct w:val="0"/>
        <w:autoSpaceDE/>
        <w:autoSpaceDN/>
        <w:bidi w:val="0"/>
        <w:spacing w:line="70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河滩镇出备用地涉及河滩镇尕常社区，共46户177人，征地面积32.37亩，补偿款已全部发放，共计发放征地补偿款393.048万元。</w:t>
      </w:r>
    </w:p>
    <w:p>
      <w:pPr>
        <w:keepNext w:val="0"/>
        <w:keepLines w:val="0"/>
        <w:pageBreakBefore w:val="0"/>
        <w:widowControl/>
        <w:suppressLineNumbers w:val="0"/>
        <w:shd w:val="clear" w:color="auto" w:fill="auto"/>
        <w:kinsoku/>
        <w:wordWrap/>
        <w:overflowPunct/>
        <w:topLinePunct w:val="0"/>
        <w:autoSpaceDE/>
        <w:autoSpaceDN/>
        <w:bidi w:val="0"/>
        <w:spacing w:line="70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东乡县城污水处理厂提标改造扩建项目</w:t>
      </w:r>
      <w:r>
        <w:rPr>
          <w:rFonts w:hint="eastAsia" w:ascii="仿宋" w:hAnsi="仿宋" w:eastAsia="仿宋" w:cs="仿宋"/>
          <w:color w:val="000000"/>
          <w:kern w:val="0"/>
          <w:sz w:val="32"/>
          <w:szCs w:val="32"/>
          <w:lang w:val="en-US" w:eastAsia="zh-CN" w:bidi="ar"/>
        </w:rPr>
        <w:t>位于锁南镇八牙村</w:t>
      </w:r>
      <w:r>
        <w:rPr>
          <w:rFonts w:hint="default" w:ascii="仿宋" w:hAnsi="仿宋" w:eastAsia="仿宋" w:cs="仿宋"/>
          <w:color w:val="000000"/>
          <w:kern w:val="0"/>
          <w:sz w:val="32"/>
          <w:szCs w:val="32"/>
          <w:lang w:val="en-US" w:eastAsia="zh-CN" w:bidi="ar"/>
        </w:rPr>
        <w:t>，共涉及29户</w:t>
      </w:r>
      <w:r>
        <w:rPr>
          <w:rFonts w:hint="eastAsia" w:ascii="仿宋" w:hAnsi="仿宋" w:eastAsia="仿宋" w:cs="仿宋"/>
          <w:color w:val="000000"/>
          <w:kern w:val="0"/>
          <w:sz w:val="32"/>
          <w:szCs w:val="32"/>
          <w:lang w:val="en-US" w:eastAsia="zh-CN" w:bidi="ar"/>
        </w:rPr>
        <w:t>149人</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征地面积</w:t>
      </w:r>
      <w:r>
        <w:rPr>
          <w:rFonts w:hint="default" w:ascii="仿宋" w:hAnsi="仿宋" w:eastAsia="仿宋" w:cs="仿宋"/>
          <w:color w:val="000000"/>
          <w:kern w:val="0"/>
          <w:sz w:val="32"/>
          <w:szCs w:val="32"/>
          <w:lang w:val="en-US" w:eastAsia="zh-CN" w:bidi="ar"/>
        </w:rPr>
        <w:t>18.752亩</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征地补偿款共计117</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688</w:t>
      </w:r>
      <w:r>
        <w:rPr>
          <w:rFonts w:hint="eastAsia" w:ascii="仿宋" w:hAnsi="仿宋" w:eastAsia="仿宋" w:cs="仿宋"/>
          <w:color w:val="000000"/>
          <w:kern w:val="0"/>
          <w:sz w:val="32"/>
          <w:szCs w:val="32"/>
          <w:lang w:val="en-US" w:eastAsia="zh-CN" w:bidi="ar"/>
        </w:rPr>
        <w:t>万</w:t>
      </w:r>
      <w:r>
        <w:rPr>
          <w:rFonts w:hint="default" w:ascii="仿宋" w:hAnsi="仿宋" w:eastAsia="仿宋" w:cs="仿宋"/>
          <w:color w:val="000000"/>
          <w:kern w:val="0"/>
          <w:sz w:val="32"/>
          <w:szCs w:val="32"/>
          <w:lang w:val="en-US" w:eastAsia="zh-CN" w:bidi="ar"/>
        </w:rPr>
        <w:t>元</w:t>
      </w:r>
      <w:r>
        <w:rPr>
          <w:rFonts w:hint="eastAsia" w:ascii="仿宋" w:hAnsi="仿宋" w:eastAsia="仿宋" w:cs="仿宋"/>
          <w:color w:val="000000"/>
          <w:kern w:val="0"/>
          <w:sz w:val="32"/>
          <w:szCs w:val="32"/>
          <w:lang w:val="en-US" w:eastAsia="zh-CN" w:bidi="ar"/>
        </w:rPr>
        <w:t>，未发放。</w:t>
      </w:r>
    </w:p>
    <w:p>
      <w:pPr>
        <w:keepNext w:val="0"/>
        <w:keepLines w:val="0"/>
        <w:pageBreakBefore w:val="0"/>
        <w:widowControl/>
        <w:suppressLineNumbers w:val="0"/>
        <w:shd w:val="clear" w:color="auto" w:fill="auto"/>
        <w:kinsoku/>
        <w:wordWrap/>
        <w:overflowPunct/>
        <w:topLinePunct w:val="0"/>
        <w:autoSpaceDE/>
        <w:autoSpaceDN/>
        <w:bidi w:val="0"/>
        <w:spacing w:line="70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东乡下王家遗址公园建设项目</w:t>
      </w:r>
      <w:r>
        <w:rPr>
          <w:rFonts w:hint="eastAsia" w:ascii="仿宋" w:hAnsi="仿宋" w:eastAsia="仿宋" w:cs="仿宋"/>
          <w:color w:val="000000"/>
          <w:kern w:val="0"/>
          <w:sz w:val="32"/>
          <w:szCs w:val="32"/>
          <w:lang w:val="en-US" w:eastAsia="zh-CN" w:bidi="ar"/>
        </w:rPr>
        <w:t>位于</w:t>
      </w:r>
      <w:r>
        <w:rPr>
          <w:rFonts w:hint="default" w:ascii="仿宋" w:hAnsi="仿宋" w:eastAsia="仿宋" w:cs="仿宋"/>
          <w:color w:val="000000"/>
          <w:kern w:val="0"/>
          <w:sz w:val="32"/>
          <w:szCs w:val="32"/>
          <w:lang w:val="en-US" w:eastAsia="zh-CN" w:bidi="ar"/>
        </w:rPr>
        <w:t>锁南镇王家村</w:t>
      </w:r>
      <w:r>
        <w:rPr>
          <w:rFonts w:hint="eastAsia" w:ascii="仿宋" w:hAnsi="仿宋" w:eastAsia="仿宋" w:cs="仿宋"/>
          <w:color w:val="000000"/>
          <w:kern w:val="0"/>
          <w:sz w:val="32"/>
          <w:szCs w:val="32"/>
          <w:lang w:val="en-US" w:eastAsia="zh-CN" w:bidi="ar"/>
        </w:rPr>
        <w:t>，共涉及</w:t>
      </w:r>
      <w:r>
        <w:rPr>
          <w:rFonts w:hint="default" w:ascii="仿宋" w:hAnsi="仿宋" w:eastAsia="仿宋" w:cs="仿宋"/>
          <w:color w:val="000000"/>
          <w:kern w:val="0"/>
          <w:sz w:val="32"/>
          <w:szCs w:val="32"/>
          <w:lang w:val="en-US" w:eastAsia="zh-CN" w:bidi="ar"/>
        </w:rPr>
        <w:t>6户</w:t>
      </w:r>
      <w:r>
        <w:rPr>
          <w:rFonts w:hint="eastAsia" w:ascii="仿宋" w:hAnsi="仿宋" w:eastAsia="仿宋" w:cs="仿宋"/>
          <w:color w:val="000000"/>
          <w:kern w:val="0"/>
          <w:sz w:val="32"/>
          <w:szCs w:val="32"/>
          <w:lang w:val="en-US" w:eastAsia="zh-CN" w:bidi="ar"/>
        </w:rPr>
        <w:t>31人</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征地面积</w:t>
      </w:r>
      <w:r>
        <w:rPr>
          <w:rFonts w:hint="default" w:ascii="仿宋" w:hAnsi="仿宋" w:eastAsia="仿宋" w:cs="仿宋"/>
          <w:color w:val="000000"/>
          <w:kern w:val="0"/>
          <w:sz w:val="32"/>
          <w:szCs w:val="32"/>
          <w:lang w:val="en-US" w:eastAsia="zh-CN" w:bidi="ar"/>
        </w:rPr>
        <w:t>19.729亩</w:t>
      </w:r>
      <w:r>
        <w:rPr>
          <w:rFonts w:hint="eastAsia" w:ascii="仿宋" w:hAnsi="仿宋" w:eastAsia="仿宋" w:cs="仿宋"/>
          <w:color w:val="000000"/>
          <w:kern w:val="0"/>
          <w:sz w:val="32"/>
          <w:szCs w:val="32"/>
          <w:lang w:val="en-US" w:eastAsia="zh-CN" w:bidi="ar"/>
        </w:rPr>
        <w:t>，补偿款已全部发放，共计发放征地补偿款</w:t>
      </w:r>
      <w:r>
        <w:rPr>
          <w:rFonts w:hint="default" w:ascii="仿宋" w:hAnsi="仿宋" w:eastAsia="仿宋" w:cs="仿宋"/>
          <w:color w:val="000000"/>
          <w:kern w:val="0"/>
          <w:sz w:val="32"/>
          <w:szCs w:val="32"/>
          <w:lang w:val="en-US" w:eastAsia="zh-CN" w:bidi="ar"/>
        </w:rPr>
        <w:t>120</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574</w:t>
      </w:r>
      <w:r>
        <w:rPr>
          <w:rFonts w:hint="eastAsia" w:ascii="仿宋" w:hAnsi="仿宋" w:eastAsia="仿宋" w:cs="仿宋"/>
          <w:color w:val="000000"/>
          <w:kern w:val="0"/>
          <w:sz w:val="32"/>
          <w:szCs w:val="32"/>
          <w:lang w:val="en-US" w:eastAsia="zh-CN" w:bidi="ar"/>
        </w:rPr>
        <w:t>万</w:t>
      </w:r>
      <w:r>
        <w:rPr>
          <w:rFonts w:hint="default" w:ascii="仿宋" w:hAnsi="仿宋" w:eastAsia="仿宋" w:cs="仿宋"/>
          <w:color w:val="000000"/>
          <w:kern w:val="0"/>
          <w:sz w:val="32"/>
          <w:szCs w:val="32"/>
          <w:lang w:val="en-US" w:eastAsia="zh-CN" w:bidi="ar"/>
        </w:rPr>
        <w:t>元</w:t>
      </w:r>
      <w:r>
        <w:rPr>
          <w:rFonts w:hint="eastAsia" w:ascii="仿宋" w:hAnsi="仿宋" w:eastAsia="仿宋" w:cs="仿宋"/>
          <w:color w:val="000000"/>
          <w:kern w:val="0"/>
          <w:sz w:val="32"/>
          <w:szCs w:val="32"/>
          <w:lang w:val="en-US" w:eastAsia="zh-CN" w:bidi="ar"/>
        </w:rPr>
        <w:t>。</w:t>
      </w:r>
    </w:p>
    <w:p>
      <w:pPr>
        <w:keepNext w:val="0"/>
        <w:keepLines w:val="0"/>
        <w:pageBreakBefore w:val="0"/>
        <w:kinsoku/>
        <w:wordWrap/>
        <w:overflowPunct/>
        <w:topLinePunct w:val="0"/>
        <w:autoSpaceDE/>
        <w:autoSpaceDN/>
        <w:bidi w:val="0"/>
        <w:spacing w:line="600" w:lineRule="exact"/>
        <w:ind w:right="0" w:rightChars="0" w:firstLine="643" w:firstLineChars="200"/>
        <w:textAlignment w:val="auto"/>
        <w:outlineLvl w:val="9"/>
        <w:rPr>
          <w:rFonts w:ascii="仿宋_GB2312" w:eastAsia="仿宋_GB2312"/>
          <w:b/>
          <w:sz w:val="32"/>
          <w:szCs w:val="32"/>
        </w:rPr>
      </w:pPr>
      <w:r>
        <w:rPr>
          <w:rFonts w:hint="eastAsia" w:ascii="仿宋_GB2312" w:eastAsia="仿宋_GB2312"/>
          <w:b/>
          <w:sz w:val="32"/>
          <w:szCs w:val="32"/>
          <w:lang w:val="en-US" w:eastAsia="zh-CN"/>
        </w:rPr>
        <w:t>（2）</w:t>
      </w:r>
      <w:r>
        <w:rPr>
          <w:rFonts w:hint="eastAsia" w:ascii="仿宋_GB2312" w:eastAsia="仿宋_GB2312"/>
          <w:b/>
          <w:sz w:val="32"/>
          <w:szCs w:val="32"/>
        </w:rPr>
        <w:t>绩效产出目标</w:t>
      </w:r>
    </w:p>
    <w:p>
      <w:pPr>
        <w:keepNext w:val="0"/>
        <w:keepLines w:val="0"/>
        <w:pageBreakBefore w:val="0"/>
        <w:kinsoku/>
        <w:wordWrap/>
        <w:overflowPunct/>
        <w:topLinePunct w:val="0"/>
        <w:autoSpaceDE/>
        <w:autoSpaceDN/>
        <w:bidi w:val="0"/>
        <w:spacing w:line="600" w:lineRule="exact"/>
        <w:ind w:right="0" w:rightChars="0" w:firstLine="640" w:firstLineChars="200"/>
        <w:textAlignment w:val="auto"/>
        <w:outlineLvl w:val="9"/>
        <w:rPr>
          <w:rFonts w:hint="eastAsia" w:ascii="仿宋" w:hAnsi="仿宋" w:eastAsia="仿宋"/>
          <w:strike w:val="0"/>
          <w:dstrike w:val="0"/>
          <w:sz w:val="32"/>
          <w:highlight w:val="none"/>
          <w:lang w:val="en-US" w:eastAsia="zh-CN"/>
        </w:rPr>
      </w:pPr>
      <w:r>
        <w:rPr>
          <w:rFonts w:hint="eastAsia" w:ascii="仿宋_GB2312" w:eastAsia="仿宋_GB2312"/>
          <w:sz w:val="32"/>
          <w:szCs w:val="32"/>
        </w:rPr>
        <w:t>资金直补受益移民</w:t>
      </w:r>
      <w:r>
        <w:rPr>
          <w:rFonts w:hint="eastAsia" w:ascii="仿宋" w:hAnsi="仿宋" w:eastAsia="仿宋" w:cs="仿宋"/>
          <w:sz w:val="32"/>
          <w:szCs w:val="32"/>
          <w:lang w:val="en-US" w:eastAsia="zh-CN"/>
        </w:rPr>
        <w:t>4563</w:t>
      </w:r>
      <w:r>
        <w:rPr>
          <w:rFonts w:hint="eastAsia" w:ascii="仿宋_GB2312" w:eastAsia="仿宋_GB2312"/>
          <w:sz w:val="32"/>
          <w:szCs w:val="32"/>
        </w:rPr>
        <w:t>人</w:t>
      </w:r>
      <w:r>
        <w:rPr>
          <w:rFonts w:hint="eastAsia" w:ascii="仿宋_GB2312" w:eastAsia="仿宋_GB2312"/>
          <w:sz w:val="32"/>
          <w:szCs w:val="32"/>
          <w:lang w:eastAsia="zh-CN"/>
        </w:rPr>
        <w:t>，项目扶持收益人口</w:t>
      </w:r>
      <w:r>
        <w:rPr>
          <w:rFonts w:hint="eastAsia" w:ascii="仿宋_GB2312" w:eastAsia="仿宋_GB2312"/>
          <w:sz w:val="32"/>
          <w:szCs w:val="32"/>
          <w:lang w:val="en-US" w:eastAsia="zh-CN"/>
        </w:rPr>
        <w:t>20060人。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Calibri" w:eastAsia="仿宋_GB2312" w:cs="Times New Roman"/>
          <w:kern w:val="2"/>
          <w:sz w:val="32"/>
          <w:szCs w:val="32"/>
          <w:highlight w:val="none"/>
          <w:lang w:val="en-US" w:eastAsia="zh-CN" w:bidi="ar-SA"/>
        </w:rPr>
      </w:pPr>
      <w:r>
        <w:rPr>
          <w:rFonts w:hint="eastAsia"/>
          <w:lang w:val="en-US" w:eastAsia="zh-CN"/>
        </w:rPr>
        <w:t xml:space="preserve">  </w:t>
      </w:r>
      <w:r>
        <w:rPr>
          <w:rFonts w:hint="eastAsia" w:ascii="仿宋_GB2312" w:hAnsi="Calibri" w:eastAsia="仿宋_GB2312" w:cs="Times New Roman"/>
          <w:kern w:val="2"/>
          <w:sz w:val="32"/>
          <w:szCs w:val="32"/>
          <w:highlight w:val="none"/>
          <w:lang w:val="en-US" w:eastAsia="zh-CN" w:bidi="ar-SA"/>
        </w:rPr>
        <w:t xml:space="preserve">   绩效目标：到2021年年底，47个项目征地工作全部完工，资金拨付比例达到80%。</w:t>
      </w:r>
    </w:p>
    <w:p>
      <w:pPr>
        <w:keepNext w:val="0"/>
        <w:keepLines w:val="0"/>
        <w:pageBreakBefore w:val="0"/>
        <w:kinsoku/>
        <w:wordWrap/>
        <w:overflowPunct/>
        <w:topLinePunct w:val="0"/>
        <w:autoSpaceDE/>
        <w:autoSpaceDN/>
        <w:bidi w:val="0"/>
        <w:spacing w:line="600" w:lineRule="exact"/>
        <w:ind w:right="0" w:rightChars="0" w:firstLine="643" w:firstLineChars="200"/>
        <w:textAlignment w:val="auto"/>
        <w:outlineLvl w:val="9"/>
        <w:rPr>
          <w:rFonts w:ascii="仿宋_GB2312" w:eastAsia="仿宋_GB2312"/>
          <w:sz w:val="32"/>
          <w:szCs w:val="32"/>
        </w:rPr>
      </w:pPr>
      <w:r>
        <w:rPr>
          <w:rFonts w:hint="eastAsia" w:ascii="仿宋_GB2312" w:eastAsia="仿宋_GB2312"/>
          <w:b/>
          <w:sz w:val="32"/>
          <w:szCs w:val="32"/>
          <w:lang w:val="en-US" w:eastAsia="zh-CN"/>
        </w:rPr>
        <w:t>（3）</w:t>
      </w:r>
      <w:r>
        <w:rPr>
          <w:rFonts w:hint="eastAsia" w:ascii="仿宋_GB2312" w:eastAsia="仿宋_GB2312"/>
          <w:b/>
          <w:sz w:val="32"/>
          <w:szCs w:val="32"/>
        </w:rPr>
        <w:t>效益目标</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eastAsia="仿宋_GB2312"/>
          <w:sz w:val="32"/>
          <w:szCs w:val="32"/>
        </w:rPr>
        <w:t>通过</w:t>
      </w:r>
      <w:r>
        <w:rPr>
          <w:rFonts w:hint="eastAsia" w:ascii="仿宋_GB2312" w:eastAsia="仿宋_GB2312"/>
          <w:sz w:val="32"/>
          <w:szCs w:val="32"/>
          <w:lang w:val="en-US" w:eastAsia="zh-CN"/>
        </w:rPr>
        <w:t>资金直补和项目扶持的方式</w:t>
      </w:r>
      <w:r>
        <w:rPr>
          <w:rFonts w:hint="eastAsia" w:ascii="仿宋_GB2312" w:eastAsia="仿宋_GB2312"/>
          <w:sz w:val="32"/>
          <w:szCs w:val="32"/>
        </w:rPr>
        <w:t>，使</w:t>
      </w:r>
      <w:r>
        <w:rPr>
          <w:rFonts w:hint="eastAsia" w:ascii="仿宋_GB2312" w:eastAsia="仿宋_GB2312"/>
          <w:sz w:val="32"/>
          <w:szCs w:val="32"/>
          <w:lang w:eastAsia="zh-CN"/>
        </w:rPr>
        <w:t>群众</w:t>
      </w:r>
      <w:r>
        <w:rPr>
          <w:rFonts w:hint="eastAsia" w:ascii="仿宋_GB2312" w:eastAsia="仿宋_GB2312"/>
          <w:sz w:val="32"/>
          <w:szCs w:val="32"/>
        </w:rPr>
        <w:t>的生产</w:t>
      </w:r>
      <w:r>
        <w:rPr>
          <w:rFonts w:hint="eastAsia" w:ascii="仿宋_GB2312" w:eastAsia="仿宋_GB2312"/>
          <w:sz w:val="32"/>
          <w:szCs w:val="32"/>
          <w:lang w:val="en-US" w:eastAsia="zh-CN"/>
        </w:rPr>
        <w:t>生活</w:t>
      </w:r>
      <w:r>
        <w:rPr>
          <w:rFonts w:hint="eastAsia" w:ascii="仿宋_GB2312" w:eastAsia="仿宋_GB2312"/>
          <w:sz w:val="32"/>
          <w:szCs w:val="32"/>
        </w:rPr>
        <w:t>条件逐步改善，人均</w:t>
      </w:r>
      <w:r>
        <w:rPr>
          <w:rFonts w:hint="eastAsia" w:ascii="仿宋_GB2312" w:eastAsia="仿宋_GB2312"/>
          <w:sz w:val="32"/>
          <w:szCs w:val="32"/>
          <w:lang w:val="en-US" w:eastAsia="zh-CN"/>
        </w:rPr>
        <w:t>可支配</w:t>
      </w:r>
      <w:r>
        <w:rPr>
          <w:rFonts w:hint="eastAsia" w:ascii="仿宋_GB2312" w:eastAsia="仿宋_GB2312"/>
          <w:sz w:val="32"/>
          <w:szCs w:val="32"/>
        </w:rPr>
        <w:t>收入逐年增加。</w:t>
      </w:r>
      <w:r>
        <w:rPr>
          <w:rFonts w:hint="eastAsia" w:ascii="仿宋_GB2312" w:eastAsia="仿宋_GB2312"/>
          <w:sz w:val="32"/>
          <w:szCs w:val="32"/>
          <w:lang w:val="en-US" w:eastAsia="zh-CN"/>
        </w:rPr>
        <w:t>通过实施农田水利、生产开发、人居环境整治等项目</w:t>
      </w:r>
      <w:r>
        <w:rPr>
          <w:rFonts w:hint="eastAsia" w:ascii="仿宋_GB2312" w:eastAsia="仿宋_GB2312"/>
          <w:sz w:val="32"/>
          <w:szCs w:val="32"/>
        </w:rPr>
        <w:t>，使移民</w:t>
      </w:r>
      <w:r>
        <w:rPr>
          <w:rFonts w:hint="eastAsia" w:ascii="仿宋_GB2312" w:eastAsia="仿宋_GB2312"/>
          <w:sz w:val="32"/>
          <w:szCs w:val="32"/>
          <w:lang w:val="en-US" w:eastAsia="zh-CN"/>
        </w:rPr>
        <w:t>村农产业得以发展，移民</w:t>
      </w:r>
      <w:r>
        <w:rPr>
          <w:rFonts w:hint="eastAsia" w:ascii="仿宋_GB2312" w:eastAsia="仿宋_GB2312"/>
          <w:sz w:val="32"/>
          <w:szCs w:val="32"/>
          <w:lang w:eastAsia="zh-CN"/>
        </w:rPr>
        <w:t>居住环境得到改善，</w:t>
      </w:r>
      <w:r>
        <w:rPr>
          <w:rFonts w:hint="eastAsia" w:ascii="仿宋_GB2312" w:eastAsia="仿宋_GB2312"/>
          <w:sz w:val="32"/>
          <w:szCs w:val="32"/>
        </w:rPr>
        <w:t>不稳定因素逐步化解，上访事件大幅减少</w:t>
      </w:r>
      <w:r>
        <w:rPr>
          <w:rFonts w:ascii="仿宋_GB2312" w:eastAsia="仿宋_GB2312"/>
          <w:sz w:val="32"/>
          <w:szCs w:val="32"/>
        </w:rPr>
        <w:t>,</w:t>
      </w:r>
      <w:r>
        <w:rPr>
          <w:rFonts w:hint="eastAsia" w:ascii="仿宋_GB2312" w:eastAsia="仿宋_GB2312"/>
          <w:sz w:val="32"/>
          <w:szCs w:val="32"/>
        </w:rPr>
        <w:t>移民思想逐步稳定。</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abstractNum w:abstractNumId="2">
    <w:nsid w:val="7920E7BB"/>
    <w:multiLevelType w:val="singleLevel"/>
    <w:tmpl w:val="7920E7BB"/>
    <w:lvl w:ilvl="0" w:tentative="0">
      <w:start w:val="13"/>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YmFmZGFkNWE2MDdjMDEwNjBjY2MzODQwODYyMmRkNzUifQ=="/>
  </w:docVars>
  <w:rsids>
    <w:rsidRoot w:val="00000000"/>
    <w:rsid w:val="035E5282"/>
    <w:rsid w:val="0511788F"/>
    <w:rsid w:val="06AA1511"/>
    <w:rsid w:val="0A4C6688"/>
    <w:rsid w:val="12E074F0"/>
    <w:rsid w:val="1739327C"/>
    <w:rsid w:val="19BA4320"/>
    <w:rsid w:val="1B205130"/>
    <w:rsid w:val="1E712589"/>
    <w:rsid w:val="1F523B54"/>
    <w:rsid w:val="224C0668"/>
    <w:rsid w:val="25FD0C5D"/>
    <w:rsid w:val="29C05E6C"/>
    <w:rsid w:val="2E516906"/>
    <w:rsid w:val="2F990904"/>
    <w:rsid w:val="37D944E9"/>
    <w:rsid w:val="39F46F0A"/>
    <w:rsid w:val="3ABD5DEE"/>
    <w:rsid w:val="3BD710AD"/>
    <w:rsid w:val="40C70436"/>
    <w:rsid w:val="41670196"/>
    <w:rsid w:val="42736B67"/>
    <w:rsid w:val="43D445BB"/>
    <w:rsid w:val="47B20A58"/>
    <w:rsid w:val="4A796450"/>
    <w:rsid w:val="4B60103E"/>
    <w:rsid w:val="4CFF65AF"/>
    <w:rsid w:val="4F1428B3"/>
    <w:rsid w:val="537062B7"/>
    <w:rsid w:val="57D535F7"/>
    <w:rsid w:val="586C15C6"/>
    <w:rsid w:val="58806626"/>
    <w:rsid w:val="5D7938C0"/>
    <w:rsid w:val="60D720E0"/>
    <w:rsid w:val="62922058"/>
    <w:rsid w:val="720E4E8D"/>
    <w:rsid w:val="726D3C91"/>
    <w:rsid w:val="745D61E5"/>
    <w:rsid w:val="746332D6"/>
    <w:rsid w:val="780B4ACF"/>
    <w:rsid w:val="785A5C57"/>
    <w:rsid w:val="794C38BE"/>
    <w:rsid w:val="7C584EE5"/>
    <w:rsid w:val="7CBE5A92"/>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0"/>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6">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99"/>
    <w:pPr>
      <w:spacing w:after="120" w:afterLines="0" w:line="480" w:lineRule="auto"/>
      <w:ind w:left="420" w:leftChars="200"/>
    </w:pPr>
  </w:style>
  <w:style w:type="paragraph" w:styleId="3">
    <w:name w:val="Body Text"/>
    <w:basedOn w:val="1"/>
    <w:qFormat/>
    <w:uiPriority w:val="0"/>
    <w:pPr>
      <w:spacing w:after="120" w:line="240" w:lineRule="auto"/>
      <w:ind w:left="0" w:firstLine="0" w:firstLineChars="0"/>
      <w:jc w:val="both"/>
    </w:pPr>
    <w:rPr>
      <w:rFonts w:ascii="Times New Roman" w:hAnsi="Times New Roman"/>
      <w:sz w:val="21"/>
      <w:szCs w:val="24"/>
    </w:rPr>
  </w:style>
  <w:style w:type="paragraph" w:styleId="4">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7">
    <w:name w:val="Strong"/>
    <w:basedOn w:val="6"/>
    <w:qFormat/>
    <w:uiPriority w:val="0"/>
    <w:rPr>
      <w:b/>
      <w:bCs/>
    </w:rPr>
  </w:style>
  <w:style w:type="character" w:styleId="8">
    <w:name w:val="FollowedHyperlink"/>
    <w:basedOn w:val="6"/>
    <w:qFormat/>
    <w:uiPriority w:val="0"/>
    <w:rPr>
      <w:color w:val="333333"/>
      <w:u w:val="none"/>
    </w:rPr>
  </w:style>
  <w:style w:type="character" w:styleId="9">
    <w:name w:val="HTML Definition"/>
    <w:basedOn w:val="6"/>
    <w:uiPriority w:val="0"/>
    <w:rPr>
      <w:i/>
      <w:iCs/>
    </w:rPr>
  </w:style>
  <w:style w:type="character" w:styleId="10">
    <w:name w:val="Hyperlink"/>
    <w:basedOn w:val="6"/>
    <w:qFormat/>
    <w:uiPriority w:val="0"/>
    <w:rPr>
      <w:color w:val="333333"/>
      <w:u w:val="none"/>
    </w:rPr>
  </w:style>
  <w:style w:type="character" w:styleId="11">
    <w:name w:val="HTML Code"/>
    <w:basedOn w:val="6"/>
    <w:qFormat/>
    <w:uiPriority w:val="0"/>
    <w:rPr>
      <w:rFonts w:ascii="Consolas" w:hAnsi="Consolas" w:eastAsia="Consolas" w:cs="Consolas"/>
      <w:color w:val="C7254E"/>
      <w:sz w:val="21"/>
      <w:szCs w:val="21"/>
      <w:shd w:val="clear" w:fill="F9F2F4"/>
    </w:rPr>
  </w:style>
  <w:style w:type="character" w:styleId="12">
    <w:name w:val="HTML Keyboard"/>
    <w:basedOn w:val="6"/>
    <w:qFormat/>
    <w:uiPriority w:val="0"/>
    <w:rPr>
      <w:rFonts w:hint="default" w:ascii="Consolas" w:hAnsi="Consolas" w:eastAsia="Consolas" w:cs="Consolas"/>
      <w:color w:val="FFFFFF"/>
      <w:sz w:val="21"/>
      <w:szCs w:val="21"/>
      <w:shd w:val="clear" w:fill="333333"/>
    </w:rPr>
  </w:style>
  <w:style w:type="character" w:styleId="13">
    <w:name w:val="HTML Sample"/>
    <w:basedOn w:val="6"/>
    <w:qFormat/>
    <w:uiPriority w:val="0"/>
    <w:rPr>
      <w:rFonts w:hint="default" w:ascii="Consolas" w:hAnsi="Consolas" w:eastAsia="Consolas" w:cs="Consolas"/>
      <w:sz w:val="21"/>
      <w:szCs w:val="21"/>
    </w:rPr>
  </w:style>
  <w:style w:type="character" w:customStyle="1" w:styleId="14">
    <w:name w:val="Body text|1_"/>
    <w:basedOn w:val="6"/>
    <w:link w:val="15"/>
    <w:qFormat/>
    <w:uiPriority w:val="0"/>
    <w:rPr>
      <w:rFonts w:ascii="宋体" w:hAnsi="宋体" w:eastAsia="宋体" w:cs="宋体"/>
      <w:sz w:val="30"/>
      <w:szCs w:val="30"/>
      <w:u w:val="none"/>
      <w:shd w:val="clear" w:color="auto" w:fill="auto"/>
      <w:lang w:val="zh-TW" w:eastAsia="zh-TW" w:bidi="zh-TW"/>
    </w:rPr>
  </w:style>
  <w:style w:type="paragraph" w:customStyle="1" w:styleId="15">
    <w:name w:val="Body text|1"/>
    <w:basedOn w:val="1"/>
    <w:link w:val="14"/>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6">
    <w:name w:val="Header or footer|2_"/>
    <w:basedOn w:val="6"/>
    <w:link w:val="17"/>
    <w:qFormat/>
    <w:uiPriority w:val="0"/>
    <w:rPr>
      <w:sz w:val="20"/>
      <w:szCs w:val="20"/>
      <w:u w:val="none"/>
      <w:shd w:val="clear" w:color="auto" w:fill="auto"/>
      <w:lang w:val="zh-TW" w:eastAsia="zh-TW" w:bidi="zh-TW"/>
    </w:rPr>
  </w:style>
  <w:style w:type="paragraph" w:customStyle="1" w:styleId="17">
    <w:name w:val="Header or footer|2"/>
    <w:basedOn w:val="1"/>
    <w:link w:val="16"/>
    <w:qFormat/>
    <w:uiPriority w:val="0"/>
    <w:pPr>
      <w:widowControl w:val="0"/>
      <w:shd w:val="clear" w:color="auto" w:fill="auto"/>
    </w:pPr>
    <w:rPr>
      <w:sz w:val="20"/>
      <w:szCs w:val="20"/>
      <w:u w:val="none"/>
      <w:shd w:val="clear" w:color="auto" w:fill="auto"/>
      <w:lang w:val="zh-TW" w:eastAsia="zh-TW" w:bidi="zh-TW"/>
    </w:rPr>
  </w:style>
  <w:style w:type="character" w:customStyle="1" w:styleId="18">
    <w:name w:val="Heading #1|1_"/>
    <w:basedOn w:val="6"/>
    <w:link w:val="19"/>
    <w:qFormat/>
    <w:uiPriority w:val="0"/>
    <w:rPr>
      <w:rFonts w:ascii="宋体" w:hAnsi="宋体" w:eastAsia="宋体" w:cs="宋体"/>
      <w:sz w:val="34"/>
      <w:szCs w:val="34"/>
      <w:u w:val="none"/>
      <w:shd w:val="clear" w:color="auto" w:fill="FFFFFF"/>
      <w:lang w:val="zh-TW" w:eastAsia="zh-TW" w:bidi="zh-TW"/>
    </w:rPr>
  </w:style>
  <w:style w:type="paragraph" w:customStyle="1" w:styleId="19">
    <w:name w:val="Heading #1|1"/>
    <w:basedOn w:val="1"/>
    <w:link w:val="18"/>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20">
    <w:name w:val="Header or footer|1_"/>
    <w:basedOn w:val="6"/>
    <w:link w:val="21"/>
    <w:qFormat/>
    <w:uiPriority w:val="0"/>
    <w:rPr>
      <w:sz w:val="17"/>
      <w:szCs w:val="17"/>
      <w:u w:val="none"/>
      <w:shd w:val="clear" w:color="auto" w:fill="auto"/>
      <w:lang w:val="zh-TW" w:eastAsia="zh-TW" w:bidi="zh-TW"/>
    </w:rPr>
  </w:style>
  <w:style w:type="paragraph" w:customStyle="1" w:styleId="21">
    <w:name w:val="Header or footer|1"/>
    <w:basedOn w:val="1"/>
    <w:link w:val="20"/>
    <w:qFormat/>
    <w:uiPriority w:val="0"/>
    <w:pPr>
      <w:widowControl w:val="0"/>
      <w:shd w:val="clear" w:color="auto" w:fill="auto"/>
    </w:pPr>
    <w:rPr>
      <w:sz w:val="17"/>
      <w:szCs w:val="17"/>
      <w:u w:val="none"/>
      <w:shd w:val="clear" w:color="auto" w:fill="auto"/>
      <w:lang w:val="zh-TW" w:eastAsia="zh-TW" w:bidi="zh-TW"/>
    </w:rPr>
  </w:style>
  <w:style w:type="character" w:customStyle="1" w:styleId="22">
    <w:name w:val="Table of contents|1_"/>
    <w:basedOn w:val="6"/>
    <w:link w:val="23"/>
    <w:qFormat/>
    <w:uiPriority w:val="0"/>
    <w:rPr>
      <w:rFonts w:ascii="宋体" w:hAnsi="宋体" w:eastAsia="宋体" w:cs="宋体"/>
      <w:sz w:val="30"/>
      <w:szCs w:val="30"/>
      <w:u w:val="none"/>
      <w:shd w:val="clear" w:color="auto" w:fill="auto"/>
      <w:lang w:val="zh-TW" w:eastAsia="zh-TW" w:bidi="zh-TW"/>
    </w:rPr>
  </w:style>
  <w:style w:type="paragraph" w:customStyle="1" w:styleId="23">
    <w:name w:val="Table of contents|1"/>
    <w:basedOn w:val="1"/>
    <w:link w:val="22"/>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4">
    <w:name w:val="zwxxgk_bnt6"/>
    <w:basedOn w:val="6"/>
    <w:qFormat/>
    <w:uiPriority w:val="0"/>
  </w:style>
  <w:style w:type="character" w:customStyle="1" w:styleId="25">
    <w:name w:val="zwxxgk_bnt61"/>
    <w:basedOn w:val="6"/>
    <w:qFormat/>
    <w:uiPriority w:val="0"/>
  </w:style>
  <w:style w:type="character" w:customStyle="1" w:styleId="26">
    <w:name w:val="zwxxgk_bnt62"/>
    <w:basedOn w:val="6"/>
    <w:qFormat/>
    <w:uiPriority w:val="0"/>
  </w:style>
  <w:style w:type="character" w:customStyle="1" w:styleId="27">
    <w:name w:val="zwxxgk_bnt5"/>
    <w:basedOn w:val="6"/>
    <w:qFormat/>
    <w:uiPriority w:val="0"/>
  </w:style>
  <w:style w:type="character" w:customStyle="1" w:styleId="28">
    <w:name w:val="zwxxgk_bnt51"/>
    <w:basedOn w:val="6"/>
    <w:qFormat/>
    <w:uiPriority w:val="0"/>
  </w:style>
  <w:style w:type="character" w:customStyle="1" w:styleId="29">
    <w:name w:val="zwxxgk_bnt52"/>
    <w:basedOn w:val="6"/>
    <w:qFormat/>
    <w:uiPriority w:val="0"/>
  </w:style>
  <w:style w:type="character" w:customStyle="1" w:styleId="30">
    <w:name w:val="NormalCharacter"/>
    <w:link w:val="1"/>
    <w:semiHidden/>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21</Pages>
  <Words>5957</Words>
  <Characters>6774</Characters>
  <TotalTime>3</TotalTime>
  <ScaleCrop>false</ScaleCrop>
  <LinksUpToDate>false</LinksUpToDate>
  <CharactersWithSpaces>6838</CharactersWithSpaces>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2</cp:lastModifiedBy>
  <cp:lastPrinted>2022-08-31T08:40:00Z</cp:lastPrinted>
  <dcterms:modified xsi:type="dcterms:W3CDTF">2023-08-30T03:40:44Z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2291A53058864B0FB913E45F5841427A</vt:lpwstr>
  </property>
</Properties>
</file>