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东乡族自治县第五中学</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(一)制定符合党的教育方针和国家教育法律法规的中学教育发展规划并抓好组织实施和落实工作。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(二)贯彻、执行教育法律法规和政策规定，坚持依法治教、依法治学。巩固提高“两基”工作成果和整体水平，配合教育局依法动员、组织适龄少年儿童入学，严格控制辍学，推进普及九</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年义务教育。</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(三)指导、管理、检查、评价学校的教育教学工作，提高办学质量和办学效益。</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(四)负责教育教学管理及教研教改工作，全力推进素质教育实施。</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(五)协助上级教育主管部门做好学校教师考核工作，负责教师管理、继续教育、考核考评等工作。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(六)负责财务管理，筹措资金，改善办学条件等工作。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仿宋_GB2312" w:eastAsia="仿宋_GB2312" w:cs="仿宋_GB2312"/>
          <w:sz w:val="32"/>
          <w:szCs w:val="32"/>
          <w:lang w:val="zh-CN"/>
        </w:rPr>
      </w:pPr>
      <w:r>
        <w:rPr>
          <w:rFonts w:hint="eastAsia" w:ascii="仿宋_GB2312" w:hAnsi="宋体" w:eastAsia="仿宋_GB2312" w:cs="宋体"/>
          <w:color w:val="auto"/>
          <w:kern w:val="0"/>
          <w:sz w:val="32"/>
          <w:szCs w:val="32"/>
          <w:highlight w:val="none"/>
          <w:lang w:val="en-US" w:eastAsia="zh-CN"/>
        </w:rPr>
        <w:t>(七)完成教育主管部门和上级政府委托的各项工作任务。</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黑体" w:eastAsia="仿宋_GB2312"/>
          <w:b/>
          <w:sz w:val="44"/>
          <w:szCs w:val="44"/>
        </w:rPr>
      </w:pPr>
      <w:r>
        <w:rPr>
          <w:rFonts w:hint="eastAsia" w:ascii="仿宋_GB2312" w:hAnsi="宋体" w:eastAsia="仿宋_GB2312" w:cs="宋体"/>
          <w:color w:val="auto"/>
          <w:kern w:val="0"/>
          <w:sz w:val="32"/>
          <w:szCs w:val="32"/>
          <w:highlight w:val="none"/>
          <w:lang w:val="en-US" w:eastAsia="zh-CN"/>
        </w:rPr>
        <w:t>根据上述职责，东乡族自治县第五中学内设7个职能处（委、室)：</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(一)办公室</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(二)教务处</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(三)教研室</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(四)政教处</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（五)纪检室</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主要职责：负责学校党务、校务、财务公开和相关决策制度执行情况的监督；对师生、家长反映的热点问题进行协调和反馈。</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(六)团委</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(七)总务处</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ind w:firstLine="640" w:firstLineChars="200"/>
        <w:jc w:val="center"/>
        <w:rPr>
          <w:rFonts w:hint="eastAsia" w:ascii="宋体" w:hAnsi="宋体"/>
          <w:sz w:val="32"/>
          <w:szCs w:val="32"/>
        </w:rPr>
      </w:pP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2022年度决算公开表格01》</w:t>
      </w:r>
    </w:p>
    <w:tbl>
      <w:tblPr>
        <w:tblStyle w:val="10"/>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11,875,670.55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10,273,149.19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11,875,670.55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11,878,119.23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3,488.50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11,879,159.05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11,879,159.05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2022年度决算公开表格02表》</w:t>
      </w:r>
    </w:p>
    <w:tbl>
      <w:tblPr>
        <w:tblStyle w:val="10"/>
        <w:tblW w:w="15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26"/>
        <w:gridCol w:w="236"/>
        <w:gridCol w:w="236"/>
        <w:gridCol w:w="2489"/>
        <w:gridCol w:w="2455"/>
        <w:gridCol w:w="1551"/>
        <w:gridCol w:w="1057"/>
        <w:gridCol w:w="1057"/>
        <w:gridCol w:w="1058"/>
        <w:gridCol w:w="1058"/>
        <w:gridCol w:w="1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trPr>
        <w:tc>
          <w:tcPr>
            <w:tcW w:w="1518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242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242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8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1" w:hRule="atLeast"/>
        </w:trPr>
        <w:tc>
          <w:tcPr>
            <w:tcW w:w="538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5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5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0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5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9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8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9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8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9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8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1" w:hRule="atLeast"/>
        </w:trPr>
        <w:tc>
          <w:tcPr>
            <w:tcW w:w="538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4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5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538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11,875,670.55</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11,875,670.55</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10,270,700.51</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10,270,700.51</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735,310.76</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735,310.76</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27,400.00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27,400.00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707,910.76</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707,910.76</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9,535,389.75</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9,535,389.75</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37,500.00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37,500.00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6,796,822.00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6,796,822.00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2,701,067.75</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2,701,067.75</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0"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3"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3"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289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4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1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18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1518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2022年度决算公开表格03表》</w:t>
      </w:r>
    </w:p>
    <w:tbl>
      <w:tblPr>
        <w:tblStyle w:val="10"/>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658"/>
        <w:gridCol w:w="1658"/>
        <w:gridCol w:w="660"/>
        <w:gridCol w:w="660"/>
        <w:gridCol w:w="66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1384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2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01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0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0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11,878,119.23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11,878,119.23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10,273,149.19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10,273,149.19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735,310.76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735,310.76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707,910.76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707,910.76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9,537,838.43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9,537,838.43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6,796,822.00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6,796,822.00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2,703,516.43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2,703,516.43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2022年度决算公开表格04表》</w:t>
      </w:r>
    </w:p>
    <w:tbl>
      <w:tblPr>
        <w:tblStyle w:val="10"/>
        <w:tblW w:w="13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48"/>
        <w:gridCol w:w="427"/>
        <w:gridCol w:w="1579"/>
        <w:gridCol w:w="3359"/>
        <w:gridCol w:w="428"/>
        <w:gridCol w:w="1579"/>
        <w:gridCol w:w="1579"/>
        <w:gridCol w:w="636"/>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364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04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1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63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trPr>
        <w:tc>
          <w:tcPr>
            <w:tcW w:w="304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11,875,670.55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10,273,149.19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10,273,149.19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11,875,670.55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11,878,119.23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11,878,119.23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3,488.50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3,488.50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11,879,159.05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11,879,159.05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11,879,159.05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2022年度决算公开表格05表》</w:t>
      </w:r>
    </w:p>
    <w:tbl>
      <w:tblPr>
        <w:tblStyle w:val="10"/>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658"/>
        <w:gridCol w:w="165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11,878,119.23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11,878,119.23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10,273,149.19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10,273,149.19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735,310.76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735,310.76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707,910.76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707,910.76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9,537,838.43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9,537,838.43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6,796,822.00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6,796,822.00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2,703,516.43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2,703,516.43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2022年度决算公开表格06表》</w:t>
      </w:r>
    </w:p>
    <w:tbl>
      <w:tblPr>
        <w:tblStyle w:val="10"/>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71"/>
        <w:gridCol w:w="2571"/>
        <w:gridCol w:w="1236"/>
        <w:gridCol w:w="608"/>
        <w:gridCol w:w="1786"/>
        <w:gridCol w:w="1001"/>
        <w:gridCol w:w="608"/>
        <w:gridCol w:w="3199"/>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864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96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6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7,987,245.04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850,479.53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5,697,904.00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352,946.43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482,706.00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103,546.60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234,984.00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712,336.32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308,784.72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26,064.79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4,297.93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550,530.00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103,557.38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3,040,394.66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2,348,794.66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193,550.00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31,708.00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11,027,639.70</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850,479.53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2022年度决算公开表格07》，因本单无相关数据，故本表无数据。</w:t>
      </w:r>
    </w:p>
    <w:tbl>
      <w:tblPr>
        <w:tblStyle w:val="10"/>
        <w:tblW w:w="13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44"/>
        <w:gridCol w:w="295"/>
        <w:gridCol w:w="295"/>
        <w:gridCol w:w="1457"/>
        <w:gridCol w:w="1155"/>
        <w:gridCol w:w="1155"/>
        <w:gridCol w:w="1155"/>
        <w:gridCol w:w="1155"/>
        <w:gridCol w:w="1155"/>
        <w:gridCol w:w="2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378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0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0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0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91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01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0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0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91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01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1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01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1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3"/>
        <w:ind w:left="0" w:leftChars="0" w:firstLine="0" w:firstLineChars="0"/>
        <w:jc w:val="left"/>
        <w:rPr>
          <w:rFonts w:hint="eastAsia"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2022年度决算公开表格08表》，因本单无相关数据，故本表无数据。</w:t>
      </w:r>
    </w:p>
    <w:tbl>
      <w:tblPr>
        <w:tblStyle w:val="10"/>
        <w:tblW w:w="138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81"/>
        <w:gridCol w:w="251"/>
        <w:gridCol w:w="530"/>
        <w:gridCol w:w="1238"/>
        <w:gridCol w:w="1964"/>
        <w:gridCol w:w="2100"/>
        <w:gridCol w:w="4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01"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81"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3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18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2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3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0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0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23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5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3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3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0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0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5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962"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3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01"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13"/>
        <w:ind w:left="0" w:leftChars="0" w:firstLine="0" w:firstLineChars="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第五中学</w:t>
      </w:r>
      <w:r>
        <w:rPr>
          <w:rFonts w:hint="eastAsia" w:ascii="仿宋_GB2312" w:hAnsi="仿宋_GB2312" w:eastAsia="仿宋_GB2312" w:cs="仿宋_GB2312"/>
          <w:sz w:val="32"/>
          <w:szCs w:val="32"/>
          <w:lang w:val="zh-CN"/>
        </w:rPr>
        <w:t>2022年度决算公开表格09表》，因本单位无相关数据，故此表无数据。</w:t>
      </w:r>
    </w:p>
    <w:tbl>
      <w:tblPr>
        <w:tblStyle w:val="10"/>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1151"/>
        <w:gridCol w:w="911"/>
        <w:gridCol w:w="911"/>
        <w:gridCol w:w="911"/>
        <w:gridCol w:w="911"/>
        <w:gridCol w:w="911"/>
        <w:gridCol w:w="1151"/>
        <w:gridCol w:w="911"/>
        <w:gridCol w:w="911"/>
        <w:gridCol w:w="911"/>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38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部门：东乡族自治县第五中学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7478"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342"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229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2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02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1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trPr>
        <w:tc>
          <w:tcPr>
            <w:tcW w:w="229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1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2299"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382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w:t>
      </w:r>
      <w:r>
        <w:rPr>
          <w:rFonts w:hint="eastAsia" w:ascii="仿宋_GB2312" w:hAnsi="仿宋_GB2312" w:eastAsia="仿宋_GB2312" w:cs="仿宋_GB2312"/>
          <w:color w:val="000000"/>
          <w:sz w:val="32"/>
          <w:szCs w:val="32"/>
          <w:lang w:val="en-US" w:eastAsia="zh-CN"/>
        </w:rPr>
        <w:t>11875670.55</w:t>
      </w:r>
      <w:r>
        <w:rPr>
          <w:rFonts w:hint="eastAsia" w:ascii="仿宋_GB2312" w:hAnsi="仿宋_GB2312" w:eastAsia="仿宋_GB2312" w:cs="仿宋_GB2312"/>
          <w:color w:val="000000"/>
          <w:sz w:val="32"/>
          <w:szCs w:val="32"/>
        </w:rPr>
        <w:t>元，支出总计</w:t>
      </w:r>
      <w:r>
        <w:rPr>
          <w:rFonts w:hint="eastAsia" w:ascii="仿宋_GB2312" w:hAnsi="仿宋_GB2312" w:eastAsia="仿宋_GB2312" w:cs="仿宋_GB2312"/>
          <w:color w:val="000000"/>
          <w:sz w:val="32"/>
          <w:szCs w:val="32"/>
          <w:lang w:val="en-US" w:eastAsia="zh-CN"/>
        </w:rPr>
        <w:t>11878119.23</w:t>
      </w:r>
      <w:r>
        <w:rPr>
          <w:rFonts w:hint="eastAsia" w:ascii="仿宋_GB2312" w:hAnsi="仿宋_GB2312" w:eastAsia="仿宋_GB2312" w:cs="仿宋_GB2312"/>
          <w:color w:val="000000"/>
          <w:sz w:val="32"/>
          <w:szCs w:val="32"/>
        </w:rPr>
        <w:t>元，与2021年决算数相比，收入增加</w:t>
      </w:r>
      <w:r>
        <w:rPr>
          <w:rFonts w:hint="eastAsia" w:ascii="仿宋_GB2312" w:hAnsi="仿宋_GB2312" w:eastAsia="仿宋_GB2312" w:cs="仿宋_GB2312"/>
          <w:color w:val="000000"/>
          <w:sz w:val="32"/>
          <w:szCs w:val="32"/>
          <w:lang w:val="en-US" w:eastAsia="zh-CN"/>
        </w:rPr>
        <w:t>942833.64</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8.6</w:t>
      </w:r>
      <w:r>
        <w:rPr>
          <w:rFonts w:hint="eastAsia" w:ascii="仿宋_GB2312" w:hAnsi="仿宋_GB2312" w:eastAsia="仿宋_GB2312" w:cs="仿宋_GB2312"/>
          <w:color w:val="000000"/>
          <w:sz w:val="32"/>
          <w:szCs w:val="32"/>
        </w:rPr>
        <w:t>%，支出总计</w:t>
      </w:r>
      <w:r>
        <w:rPr>
          <w:rFonts w:hint="eastAsia" w:ascii="仿宋_GB2312" w:hAnsi="仿宋_GB2312" w:eastAsia="仿宋_GB2312" w:cs="仿宋_GB2312"/>
          <w:color w:val="000000"/>
          <w:sz w:val="32"/>
          <w:szCs w:val="32"/>
          <w:lang w:val="en-US" w:eastAsia="zh-CN"/>
        </w:rPr>
        <w:t>11878119.23</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939291.78</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8.6</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lang w:val="en-US" w:eastAsia="zh-CN"/>
        </w:rPr>
        <w:t>11875670.55</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lang w:val="en-US" w:eastAsia="zh-CN"/>
        </w:rPr>
        <w:t>11875670.55</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lang w:val="en-US" w:eastAsia="zh-CN"/>
        </w:rPr>
        <w:t>11878119.23</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lang w:val="en-US" w:eastAsia="zh-CN"/>
        </w:rPr>
        <w:t>11878119.23</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zh-CN"/>
        </w:rPr>
        <w:t>四、财政拨款收入支出决算总体情况说明</w:t>
      </w:r>
      <w:r>
        <w:rPr>
          <w:rFonts w:hint="eastAsia" w:ascii="仿宋_GB2312" w:hAnsi="仿宋_GB2312" w:eastAsia="仿宋_GB2312" w:cs="仿宋_GB2312"/>
          <w:b/>
          <w:sz w:val="32"/>
          <w:szCs w:val="32"/>
          <w:lang w:val="en-US" w:eastAsia="zh-CN"/>
        </w:rPr>
        <w:t xml:space="preserve">  </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color w:val="000000"/>
          <w:sz w:val="32"/>
          <w:szCs w:val="32"/>
          <w:lang w:val="en-US" w:eastAsia="zh-CN"/>
        </w:rPr>
        <w:t>11875670.55</w:t>
      </w:r>
      <w:r>
        <w:rPr>
          <w:rFonts w:hint="eastAsia" w:ascii="仿宋_GB2312" w:hAnsi="仿宋_GB2312" w:eastAsia="仿宋_GB2312" w:cs="仿宋_GB2312"/>
          <w:color w:val="000000"/>
          <w:sz w:val="32"/>
          <w:szCs w:val="32"/>
        </w:rPr>
        <w:t>元，收入增加</w:t>
      </w:r>
      <w:r>
        <w:rPr>
          <w:rFonts w:hint="eastAsia" w:ascii="仿宋_GB2312" w:hAnsi="仿宋_GB2312" w:eastAsia="仿宋_GB2312" w:cs="仿宋_GB2312"/>
          <w:color w:val="000000"/>
          <w:sz w:val="32"/>
          <w:szCs w:val="32"/>
          <w:lang w:val="en-US" w:eastAsia="zh-CN"/>
        </w:rPr>
        <w:t>942833.64</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8.6</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color w:val="000000"/>
          <w:sz w:val="32"/>
          <w:szCs w:val="32"/>
          <w:lang w:val="en-US" w:eastAsia="zh-CN"/>
        </w:rPr>
        <w:t>11878119.23</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939291.78</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8.6</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11878119.23</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939291.78</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8.6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FF0000"/>
          <w:sz w:val="32"/>
          <w:szCs w:val="32"/>
          <w:lang w:val="zh-CN"/>
        </w:rPr>
        <w:t>主要原因是人员增加。</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3.1708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3.1708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rPr>
        <w:t>2</w:t>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74.997187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71.233632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主要原因是预算数做了新增人员的经费，支出时新来人员的社保仍由原单位支出。</w:t>
      </w:r>
    </w:p>
    <w:p>
      <w:pPr>
        <w:ind w:firstLine="643" w:firstLineChars="200"/>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30.782664</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30.878472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lang w:val="zh-CN"/>
        </w:rPr>
        <w:t>%,决算数</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val="zh-CN"/>
        </w:rPr>
        <w:t>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医疗保险基数</w:t>
      </w:r>
      <w:r>
        <w:rPr>
          <w:rFonts w:hint="eastAsia" w:ascii="仿宋_GB2312" w:hAnsi="仿宋_GB2312" w:eastAsia="仿宋_GB2312" w:cs="仿宋_GB2312"/>
          <w:color w:val="FF0000"/>
          <w:sz w:val="32"/>
          <w:szCs w:val="32"/>
          <w:lang w:val="zh-CN"/>
        </w:rPr>
        <w:t>的</w:t>
      </w:r>
      <w:r>
        <w:rPr>
          <w:rFonts w:hint="eastAsia" w:ascii="仿宋_GB2312" w:hAnsi="仿宋_GB2312" w:eastAsia="仿宋_GB2312" w:cs="仿宋_GB2312"/>
          <w:color w:val="FF0000"/>
          <w:sz w:val="32"/>
          <w:szCs w:val="32"/>
          <w:lang w:val="en-US" w:eastAsia="zh-CN"/>
        </w:rPr>
        <w:t>调整。</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5.</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%,决算数大于预算数的</w:t>
      </w:r>
      <w:r>
        <w:rPr>
          <w:rFonts w:hint="eastAsia" w:ascii="仿宋_GB2312" w:hAnsi="仿宋_GB2312" w:eastAsia="仿宋_GB2312" w:cs="仿宋_GB2312"/>
          <w:color w:val="FF0000"/>
          <w:sz w:val="32"/>
          <w:szCs w:val="32"/>
          <w:lang w:val="zh-CN"/>
        </w:rPr>
        <w:t>主要原因是支出的经费为2021年的驻村经费补发，2022年我单位没有驻村人员，故没有做该项目的经费预算。</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55.553472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55.0530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主要原因是预算做</w:t>
      </w:r>
      <w:r>
        <w:rPr>
          <w:rFonts w:hint="eastAsia" w:ascii="仿宋_GB2312" w:hAnsi="仿宋_GB2312" w:eastAsia="仿宋_GB2312" w:cs="仿宋_GB2312"/>
          <w:color w:val="FF0000"/>
          <w:sz w:val="32"/>
          <w:szCs w:val="32"/>
          <w:lang w:val="en-US" w:eastAsia="zh-CN"/>
        </w:rPr>
        <w:t>多</w:t>
      </w:r>
      <w:r>
        <w:rPr>
          <w:rFonts w:hint="eastAsia" w:ascii="仿宋_GB2312" w:hAnsi="仿宋_GB2312" w:eastAsia="仿宋_GB2312" w:cs="仿宋_GB2312"/>
          <w:color w:val="FF0000"/>
          <w:sz w:val="32"/>
          <w:szCs w:val="32"/>
          <w:lang w:val="zh-CN"/>
        </w:rPr>
        <w:t>了。</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lang w:val="zh-CN"/>
        </w:rPr>
        <w:t>.</w:t>
      </w:r>
      <w:r>
        <w:rPr>
          <w:rFonts w:hint="eastAsia" w:ascii="仿宋_GB2312" w:hAnsi="仿宋_GB2312" w:eastAsia="仿宋_GB2312" w:cs="仿宋_GB2312"/>
          <w:b/>
          <w:sz w:val="32"/>
          <w:szCs w:val="32"/>
          <w:lang w:val="en-US" w:eastAsia="zh-CN"/>
        </w:rPr>
        <w:t>教育支出</w:t>
      </w:r>
      <w:r>
        <w:rPr>
          <w:rFonts w:hint="eastAsia" w:ascii="仿宋_GB2312" w:hAnsi="仿宋_GB2312" w:eastAsia="仿宋_GB2312" w:cs="仿宋_GB2312"/>
          <w:b/>
          <w:sz w:val="32"/>
          <w:szCs w:val="32"/>
          <w:lang w:val="zh-CN"/>
        </w:rPr>
        <w:t>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614.8690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1027.314919</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167</w:t>
      </w:r>
      <w:r>
        <w:rPr>
          <w:rFonts w:hint="eastAsia" w:ascii="仿宋_GB2312" w:hAnsi="仿宋_GB2312" w:eastAsia="仿宋_GB2312" w:cs="仿宋_GB2312"/>
          <w:sz w:val="32"/>
          <w:szCs w:val="32"/>
          <w:lang w:val="zh-CN"/>
        </w:rPr>
        <w:t>%,决算数</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val="zh-CN"/>
        </w:rPr>
        <w:t>于预算数的</w:t>
      </w:r>
      <w:r>
        <w:rPr>
          <w:rFonts w:hint="eastAsia" w:ascii="仿宋_GB2312" w:hAnsi="仿宋_GB2312" w:eastAsia="仿宋_GB2312" w:cs="仿宋_GB2312"/>
          <w:color w:val="FF0000"/>
          <w:sz w:val="32"/>
          <w:szCs w:val="32"/>
          <w:lang w:val="zh-CN"/>
        </w:rPr>
        <w:t>主要原因是预算做</w:t>
      </w:r>
      <w:r>
        <w:rPr>
          <w:rFonts w:hint="eastAsia" w:ascii="仿宋_GB2312" w:hAnsi="仿宋_GB2312" w:eastAsia="仿宋_GB2312" w:cs="仿宋_GB2312"/>
          <w:color w:val="FF0000"/>
          <w:sz w:val="32"/>
          <w:szCs w:val="32"/>
          <w:lang w:val="en-US" w:eastAsia="zh-CN"/>
        </w:rPr>
        <w:t>少</w:t>
      </w:r>
      <w:r>
        <w:rPr>
          <w:rFonts w:hint="eastAsia" w:ascii="仿宋_GB2312" w:hAnsi="仿宋_GB2312" w:eastAsia="仿宋_GB2312" w:cs="仿宋_GB2312"/>
          <w:color w:val="FF0000"/>
          <w:sz w:val="32"/>
          <w:szCs w:val="32"/>
          <w:lang w:val="zh-CN"/>
        </w:rPr>
        <w:t>了。</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lang w:val="en-US" w:eastAsia="zh-CN"/>
        </w:rPr>
        <w:t>11878119.23</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b/>
          <w:sz w:val="32"/>
          <w:szCs w:val="32"/>
          <w:lang w:val="en-US" w:eastAsia="zh-CN"/>
        </w:rPr>
        <w:t>11027639.7</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lang w:val="en-US" w:eastAsia="zh-CN"/>
        </w:rPr>
        <w:t>1594068.4</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w:t>
      </w:r>
      <w:r>
        <w:rPr>
          <w:rFonts w:hint="eastAsia" w:ascii="仿宋_GB2312" w:hAnsi="仿宋_GB2312" w:eastAsia="仿宋_GB2312" w:cs="仿宋_GB2312"/>
          <w:color w:val="FF0000"/>
          <w:sz w:val="32"/>
          <w:szCs w:val="32"/>
          <w:lang w:val="en-US" w:eastAsia="zh-CN"/>
        </w:rPr>
        <w:t>5697904</w:t>
      </w:r>
      <w:r>
        <w:rPr>
          <w:rFonts w:hint="eastAsia" w:ascii="仿宋_GB2312" w:hAnsi="仿宋_GB2312" w:eastAsia="仿宋_GB2312" w:cs="仿宋_GB2312"/>
          <w:color w:val="FF0000"/>
          <w:sz w:val="32"/>
          <w:szCs w:val="32"/>
          <w:lang w:val="zh-CN"/>
        </w:rPr>
        <w:t>元，津贴补贴</w:t>
      </w:r>
      <w:r>
        <w:rPr>
          <w:rFonts w:hint="eastAsia" w:ascii="仿宋_GB2312" w:hAnsi="仿宋_GB2312" w:eastAsia="仿宋_GB2312" w:cs="仿宋_GB2312"/>
          <w:color w:val="FF0000"/>
          <w:sz w:val="32"/>
          <w:szCs w:val="32"/>
          <w:lang w:val="en-US" w:eastAsia="zh-CN"/>
        </w:rPr>
        <w:t>482706</w:t>
      </w:r>
      <w:r>
        <w:rPr>
          <w:rFonts w:hint="eastAsia" w:ascii="仿宋_GB2312" w:hAnsi="仿宋_GB2312" w:eastAsia="仿宋_GB2312" w:cs="仿宋_GB2312"/>
          <w:color w:val="FF0000"/>
          <w:sz w:val="32"/>
          <w:szCs w:val="32"/>
          <w:lang w:val="zh-CN"/>
        </w:rPr>
        <w:t>元，奖金</w:t>
      </w:r>
      <w:r>
        <w:rPr>
          <w:rFonts w:hint="eastAsia" w:ascii="仿宋_GB2312" w:hAnsi="仿宋_GB2312" w:eastAsia="仿宋_GB2312" w:cs="仿宋_GB2312"/>
          <w:color w:val="FF0000"/>
          <w:sz w:val="32"/>
          <w:szCs w:val="32"/>
          <w:lang w:val="en-US" w:eastAsia="zh-CN"/>
        </w:rPr>
        <w:t>234984</w:t>
      </w:r>
      <w:r>
        <w:rPr>
          <w:rFonts w:hint="eastAsia" w:ascii="仿宋_GB2312" w:hAnsi="仿宋_GB2312" w:eastAsia="仿宋_GB2312" w:cs="仿宋_GB2312"/>
          <w:color w:val="FF0000"/>
          <w:sz w:val="32"/>
          <w:szCs w:val="32"/>
          <w:lang w:val="zh-CN"/>
        </w:rPr>
        <w:t>元，社会保障缴费（养老保险）</w:t>
      </w:r>
      <w:r>
        <w:rPr>
          <w:rFonts w:hint="eastAsia" w:ascii="仿宋_GB2312" w:hAnsi="仿宋_GB2312" w:eastAsia="仿宋_GB2312" w:cs="仿宋_GB2312"/>
          <w:color w:val="FF0000"/>
          <w:sz w:val="32"/>
          <w:szCs w:val="32"/>
          <w:lang w:val="en-US" w:eastAsia="zh-CN"/>
        </w:rPr>
        <w:t>712336.32</w:t>
      </w:r>
      <w:r>
        <w:rPr>
          <w:rFonts w:hint="eastAsia" w:ascii="仿宋_GB2312" w:hAnsi="仿宋_GB2312" w:eastAsia="仿宋_GB2312" w:cs="仿宋_GB2312"/>
          <w:color w:val="FF0000"/>
          <w:sz w:val="32"/>
          <w:szCs w:val="32"/>
          <w:lang w:val="zh-CN"/>
        </w:rPr>
        <w:t>元，医疗补助缴费</w:t>
      </w:r>
      <w:r>
        <w:rPr>
          <w:rFonts w:hint="eastAsia" w:ascii="仿宋_GB2312" w:hAnsi="仿宋_GB2312" w:eastAsia="仿宋_GB2312" w:cs="仿宋_GB2312"/>
          <w:color w:val="FF0000"/>
          <w:sz w:val="32"/>
          <w:szCs w:val="32"/>
          <w:lang w:val="en-US" w:eastAsia="zh-CN"/>
        </w:rPr>
        <w:t>30874.72</w:t>
      </w:r>
      <w:r>
        <w:rPr>
          <w:rFonts w:hint="eastAsia" w:ascii="仿宋_GB2312" w:hAnsi="仿宋_GB2312" w:eastAsia="仿宋_GB2312" w:cs="仿宋_GB2312"/>
          <w:color w:val="FF0000"/>
          <w:sz w:val="32"/>
          <w:szCs w:val="32"/>
          <w:lang w:val="zh-CN"/>
        </w:rPr>
        <w:t>元，住房公积金缴费</w:t>
      </w:r>
      <w:r>
        <w:rPr>
          <w:rFonts w:hint="eastAsia" w:ascii="仿宋_GB2312" w:hAnsi="仿宋_GB2312" w:eastAsia="仿宋_GB2312" w:cs="仿宋_GB2312"/>
          <w:color w:val="FF0000"/>
          <w:sz w:val="32"/>
          <w:szCs w:val="32"/>
          <w:lang w:val="en-US" w:eastAsia="zh-CN"/>
        </w:rPr>
        <w:t>550530</w:t>
      </w:r>
      <w:r>
        <w:rPr>
          <w:rFonts w:hint="eastAsia" w:ascii="仿宋_GB2312" w:hAnsi="仿宋_GB2312" w:eastAsia="仿宋_GB2312" w:cs="仿宋_GB2312"/>
          <w:color w:val="FF0000"/>
          <w:sz w:val="32"/>
          <w:szCs w:val="32"/>
          <w:lang w:val="zh-CN"/>
        </w:rPr>
        <w:t>元，对个人和家庭的补助</w:t>
      </w:r>
      <w:r>
        <w:rPr>
          <w:rFonts w:hint="eastAsia" w:ascii="仿宋_GB2312" w:hAnsi="仿宋_GB2312" w:eastAsia="仿宋_GB2312" w:cs="仿宋_GB2312"/>
          <w:color w:val="FF0000"/>
          <w:sz w:val="32"/>
          <w:szCs w:val="32"/>
          <w:lang w:val="en-US" w:eastAsia="zh-CN"/>
        </w:rPr>
        <w:t>3040394.66</w:t>
      </w:r>
      <w:r>
        <w:rPr>
          <w:rFonts w:hint="eastAsia" w:ascii="仿宋_GB2312" w:hAnsi="仿宋_GB2312" w:eastAsia="仿宋_GB2312" w:cs="仿宋_GB2312"/>
          <w:color w:val="FF0000"/>
          <w:sz w:val="32"/>
          <w:szCs w:val="32"/>
          <w:lang w:val="zh-CN"/>
        </w:rPr>
        <w:t>元。</w:t>
      </w:r>
    </w:p>
    <w:p>
      <w:pPr>
        <w:ind w:firstLine="643"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公用经费</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850479.53</w:t>
      </w:r>
      <w:r>
        <w:rPr>
          <w:rFonts w:hint="eastAsia" w:ascii="仿宋_GB2312" w:hAnsi="仿宋_GB2312" w:eastAsia="仿宋_GB2312" w:cs="仿宋_GB2312"/>
          <w:color w:val="000000" w:themeColor="text1"/>
          <w:sz w:val="32"/>
          <w:szCs w:val="32"/>
          <w:lang w:val="zh-CN"/>
          <w14:textFill>
            <w14:solidFill>
              <w14:schemeClr w14:val="tx1"/>
            </w14:solidFill>
          </w14:textFill>
        </w:rPr>
        <w:t>元,较上年决算数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减少650376.62</w:t>
      </w:r>
      <w:r>
        <w:rPr>
          <w:rFonts w:hint="eastAsia" w:ascii="仿宋_GB2312" w:hAnsi="仿宋_GB2312" w:eastAsia="仿宋_GB2312" w:cs="仿宋_GB2312"/>
          <w:color w:val="000000" w:themeColor="text1"/>
          <w:sz w:val="32"/>
          <w:szCs w:val="32"/>
          <w:lang w:val="zh-CN"/>
          <w14:textFill>
            <w14:solidFill>
              <w14:schemeClr w14:val="tx1"/>
            </w14:solidFill>
          </w14:textFill>
        </w:rPr>
        <w:t>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减少43</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受下半年疫情影响部分公用经费未支出</w:t>
      </w:r>
      <w:r>
        <w:rPr>
          <w:rFonts w:hint="eastAsia" w:ascii="仿宋_GB2312" w:hAnsi="仿宋_GB2312" w:eastAsia="仿宋_GB2312" w:cs="仿宋_GB2312"/>
          <w:color w:val="000000" w:themeColor="text1"/>
          <w:sz w:val="32"/>
          <w:szCs w:val="32"/>
          <w:lang w:val="zh-CN"/>
          <w14:textFill>
            <w14:solidFill>
              <w14:schemeClr w14:val="tx1"/>
            </w14:solidFill>
          </w14:textFill>
        </w:rPr>
        <w:t>。公用经费用途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包括</w:t>
      </w:r>
      <w:r>
        <w:rPr>
          <w:rFonts w:hint="eastAsia" w:ascii="仿宋_GB2312" w:hAnsi="仿宋_GB2312" w:eastAsia="仿宋_GB2312" w:cs="仿宋_GB2312"/>
          <w:color w:val="000000" w:themeColor="text1"/>
          <w:sz w:val="32"/>
          <w:szCs w:val="32"/>
          <w:lang w:val="zh-CN"/>
          <w14:textFill>
            <w14:solidFill>
              <w14:schemeClr w14:val="tx1"/>
            </w14:solidFill>
          </w14:textFill>
        </w:rPr>
        <w:t>办公费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352946.43</w:t>
      </w:r>
      <w:r>
        <w:rPr>
          <w:rFonts w:hint="eastAsia" w:ascii="仿宋_GB2312" w:hAnsi="仿宋_GB2312" w:eastAsia="仿宋_GB2312" w:cs="仿宋_GB2312"/>
          <w:color w:val="000000" w:themeColor="text1"/>
          <w:sz w:val="32"/>
          <w:szCs w:val="32"/>
          <w:lang w:val="zh-CN"/>
          <w14:textFill>
            <w14:solidFill>
              <w14:schemeClr w14:val="tx1"/>
            </w14:solidFill>
          </w14:textFill>
        </w:rPr>
        <w:t>元，印刷费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103546.6</w:t>
      </w:r>
      <w:r>
        <w:rPr>
          <w:rFonts w:hint="eastAsia" w:ascii="仿宋_GB2312" w:hAnsi="仿宋_GB2312" w:eastAsia="仿宋_GB2312" w:cs="仿宋_GB2312"/>
          <w:color w:val="000000" w:themeColor="text1"/>
          <w:sz w:val="32"/>
          <w:szCs w:val="32"/>
          <w:lang w:val="zh-CN"/>
          <w14:textFill>
            <w14:solidFill>
              <w14:schemeClr w14:val="tx1"/>
            </w14:solidFill>
          </w14:textFill>
        </w:rPr>
        <w:t>元，电费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17952.4</w:t>
      </w:r>
      <w:r>
        <w:rPr>
          <w:rFonts w:hint="eastAsia" w:ascii="仿宋_GB2312" w:hAnsi="仿宋_GB2312" w:eastAsia="仿宋_GB2312" w:cs="仿宋_GB2312"/>
          <w:color w:val="000000" w:themeColor="text1"/>
          <w:sz w:val="32"/>
          <w:szCs w:val="32"/>
          <w:lang w:val="zh-CN"/>
          <w14:textFill>
            <w14:solidFill>
              <w14:schemeClr w14:val="tx1"/>
            </w14:solidFill>
          </w14:textFill>
        </w:rPr>
        <w:t>元、邮电费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2940</w:t>
      </w:r>
      <w:r>
        <w:rPr>
          <w:rFonts w:hint="eastAsia" w:ascii="仿宋_GB2312" w:hAnsi="仿宋_GB2312" w:eastAsia="仿宋_GB2312" w:cs="仿宋_GB2312"/>
          <w:color w:val="000000" w:themeColor="text1"/>
          <w:sz w:val="32"/>
          <w:szCs w:val="32"/>
          <w:lang w:val="zh-CN"/>
          <w14:textFill>
            <w14:solidFill>
              <w14:schemeClr w14:val="tx1"/>
            </w14:solidFill>
          </w14:textFill>
        </w:rPr>
        <w:t>元，差旅费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4297.93</w:t>
      </w:r>
      <w:r>
        <w:rPr>
          <w:rFonts w:hint="eastAsia" w:ascii="仿宋_GB2312" w:hAnsi="仿宋_GB2312" w:eastAsia="仿宋_GB2312" w:cs="仿宋_GB2312"/>
          <w:color w:val="000000" w:themeColor="text1"/>
          <w:sz w:val="32"/>
          <w:szCs w:val="32"/>
          <w:lang w:val="zh-CN"/>
          <w14:textFill>
            <w14:solidFill>
              <w14:schemeClr w14:val="tx1"/>
            </w14:solidFill>
          </w14:textFill>
        </w:rPr>
        <w:t>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取暖</w:t>
      </w:r>
      <w:r>
        <w:rPr>
          <w:rFonts w:hint="eastAsia" w:ascii="仿宋_GB2312" w:hAnsi="仿宋_GB2312" w:eastAsia="仿宋_GB2312" w:cs="仿宋_GB2312"/>
          <w:color w:val="000000" w:themeColor="text1"/>
          <w:sz w:val="32"/>
          <w:szCs w:val="32"/>
          <w:lang w:val="zh-CN"/>
          <w14:textFill>
            <w14:solidFill>
              <w14:schemeClr w14:val="tx1"/>
            </w14:solidFill>
          </w14:textFill>
        </w:rPr>
        <w:t>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26064.79</w:t>
      </w:r>
      <w:r>
        <w:rPr>
          <w:rFonts w:hint="eastAsia" w:ascii="仿宋_GB2312" w:hAnsi="仿宋_GB2312" w:eastAsia="仿宋_GB2312" w:cs="仿宋_GB2312"/>
          <w:color w:val="000000" w:themeColor="text1"/>
          <w:sz w:val="32"/>
          <w:szCs w:val="32"/>
          <w:lang w:val="zh-CN"/>
          <w14:textFill>
            <w14:solidFill>
              <w14:schemeClr w14:val="tx1"/>
            </w14:solidFill>
          </w14:textFill>
        </w:rPr>
        <w:t>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维护维修费103577.38元，租赁费3900元，培训费8405元，劳务费193550元，工会经费31708元，其他商品服务支出1611元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ind w:firstLine="643" w:firstLineChars="200"/>
        <w:jc w:val="left"/>
        <w:rPr>
          <w:rFonts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七</w:t>
      </w:r>
      <w:r>
        <w:rPr>
          <w:rFonts w:hint="eastAsia" w:ascii="仿宋_GB2312" w:hAnsi="仿宋_GB2312" w:eastAsia="仿宋_GB2312" w:cs="仿宋_GB2312"/>
          <w:b/>
          <w:color w:val="000000" w:themeColor="text1"/>
          <w:sz w:val="32"/>
          <w:szCs w:val="32"/>
          <w:lang w:val="zh-CN"/>
          <w14:textFill>
            <w14:solidFill>
              <w14:schemeClr w14:val="tx1"/>
            </w14:solidFill>
          </w14:textFill>
        </w:rPr>
        <w:t>、机关运行经费支出情况说明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2022年度本部门机关运行经费支出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850479.53</w:t>
      </w:r>
      <w:r>
        <w:rPr>
          <w:rFonts w:hint="eastAsia" w:ascii="仿宋_GB2312" w:hAnsi="仿宋_GB2312" w:eastAsia="仿宋_GB2312" w:cs="仿宋_GB2312"/>
          <w:color w:val="000000" w:themeColor="text1"/>
          <w:sz w:val="32"/>
          <w:szCs w:val="32"/>
          <w:lang w:val="zh-CN"/>
          <w14:textFill>
            <w14:solidFill>
              <w14:schemeClr w14:val="tx1"/>
            </w14:solidFill>
          </w14:textFill>
        </w:rPr>
        <w:t>元,机关运行经费主要用于开支办公费（30201）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352946.43</w:t>
      </w:r>
      <w:r>
        <w:rPr>
          <w:rFonts w:hint="eastAsia" w:ascii="仿宋_GB2312" w:hAnsi="仿宋_GB2312" w:eastAsia="仿宋_GB2312" w:cs="仿宋_GB2312"/>
          <w:color w:val="000000" w:themeColor="text1"/>
          <w:sz w:val="32"/>
          <w:szCs w:val="32"/>
          <w:lang w:val="zh-CN"/>
          <w14:textFill>
            <w14:solidFill>
              <w14:schemeClr w14:val="tx1"/>
            </w14:solidFill>
          </w14:textFill>
        </w:rPr>
        <w:t>元，印刷费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103546.6</w:t>
      </w:r>
      <w:r>
        <w:rPr>
          <w:rFonts w:hint="eastAsia" w:ascii="仿宋_GB2312" w:hAnsi="仿宋_GB2312" w:eastAsia="仿宋_GB2312" w:cs="仿宋_GB2312"/>
          <w:color w:val="000000" w:themeColor="text1"/>
          <w:sz w:val="32"/>
          <w:szCs w:val="32"/>
          <w:lang w:val="zh-CN"/>
          <w14:textFill>
            <w14:solidFill>
              <w14:schemeClr w14:val="tx1"/>
            </w14:solidFill>
          </w14:textFill>
        </w:rPr>
        <w:t>元，电费（30206）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17952.4</w:t>
      </w:r>
      <w:r>
        <w:rPr>
          <w:rFonts w:hint="eastAsia" w:ascii="仿宋_GB2312" w:hAnsi="仿宋_GB2312" w:eastAsia="仿宋_GB2312" w:cs="仿宋_GB2312"/>
          <w:color w:val="000000" w:themeColor="text1"/>
          <w:sz w:val="32"/>
          <w:szCs w:val="32"/>
          <w:lang w:val="zh-CN"/>
          <w14:textFill>
            <w14:solidFill>
              <w14:schemeClr w14:val="tx1"/>
            </w14:solidFill>
          </w14:textFill>
        </w:rPr>
        <w:t>元，邮电费（30207）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2940</w:t>
      </w:r>
      <w:r>
        <w:rPr>
          <w:rFonts w:hint="eastAsia" w:ascii="仿宋_GB2312" w:hAnsi="仿宋_GB2312" w:eastAsia="仿宋_GB2312" w:cs="仿宋_GB2312"/>
          <w:color w:val="000000" w:themeColor="text1"/>
          <w:sz w:val="32"/>
          <w:szCs w:val="32"/>
          <w:lang w:val="zh-CN"/>
          <w14:textFill>
            <w14:solidFill>
              <w14:schemeClr w14:val="tx1"/>
            </w14:solidFill>
          </w14:textFill>
        </w:rPr>
        <w:t>元，差旅费（30211）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4297.93</w:t>
      </w:r>
      <w:r>
        <w:rPr>
          <w:rFonts w:hint="eastAsia" w:ascii="仿宋_GB2312" w:hAnsi="仿宋_GB2312" w:eastAsia="仿宋_GB2312" w:cs="仿宋_GB2312"/>
          <w:color w:val="000000" w:themeColor="text1"/>
          <w:sz w:val="32"/>
          <w:szCs w:val="32"/>
          <w:lang w:val="zh-CN"/>
          <w14:textFill>
            <w14:solidFill>
              <w14:schemeClr w14:val="tx1"/>
            </w14:solidFill>
          </w14:textFill>
        </w:rPr>
        <w:t>元，工会经费（30228）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31708</w:t>
      </w:r>
      <w:r>
        <w:rPr>
          <w:rFonts w:hint="eastAsia" w:ascii="仿宋_GB2312" w:hAnsi="仿宋_GB2312" w:eastAsia="仿宋_GB2312" w:cs="仿宋_GB2312"/>
          <w:color w:val="000000" w:themeColor="text1"/>
          <w:sz w:val="32"/>
          <w:szCs w:val="32"/>
          <w:lang w:val="zh-CN"/>
          <w14:textFill>
            <w14:solidFill>
              <w14:schemeClr w14:val="tx1"/>
            </w14:solidFill>
          </w14:textFill>
        </w:rPr>
        <w:t>元。</w:t>
      </w:r>
    </w:p>
    <w:p>
      <w:pPr>
        <w:ind w:firstLine="643" w:firstLineChars="200"/>
        <w:jc w:val="left"/>
        <w:rPr>
          <w:rFonts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八、政府采购支出情况说明</w:t>
      </w:r>
    </w:p>
    <w:p>
      <w:pPr>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2022年度本部门政府采购支出合计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1500</w:t>
      </w:r>
      <w:r>
        <w:rPr>
          <w:rFonts w:hint="eastAsia" w:ascii="仿宋_GB2312" w:hAnsi="仿宋_GB2312" w:eastAsia="仿宋_GB2312" w:cs="仿宋_GB2312"/>
          <w:color w:val="000000" w:themeColor="text1"/>
          <w:sz w:val="32"/>
          <w:szCs w:val="32"/>
          <w:lang w:val="zh-CN"/>
          <w14:textFill>
            <w14:solidFill>
              <w14:schemeClr w14:val="tx1"/>
            </w14:solidFill>
          </w14:textFill>
        </w:rPr>
        <w:t>元,其中：政府采购服务支出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1500</w:t>
      </w:r>
      <w:r>
        <w:rPr>
          <w:rFonts w:hint="eastAsia" w:ascii="仿宋_GB2312" w:hAnsi="仿宋_GB2312" w:eastAsia="仿宋_GB2312" w:cs="仿宋_GB2312"/>
          <w:color w:val="000000" w:themeColor="text1"/>
          <w:sz w:val="32"/>
          <w:szCs w:val="32"/>
          <w:lang w:val="zh-CN"/>
          <w14:textFill>
            <w14:solidFill>
              <w14:schemeClr w14:val="tx1"/>
            </w14:solidFill>
          </w14:textFill>
        </w:rPr>
        <w:t>元。</w:t>
      </w:r>
    </w:p>
    <w:p>
      <w:pPr>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p>
    <w:p>
      <w:pPr>
        <w:numPr>
          <w:ilvl w:val="0"/>
          <w:numId w:val="2"/>
        </w:numPr>
        <w:ind w:left="2060" w:leftChars="0" w:hanging="720" w:firstLineChars="0"/>
        <w:jc w:val="left"/>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国有资产占用情况说明</w:t>
      </w:r>
    </w:p>
    <w:p>
      <w:pPr>
        <w:numPr>
          <w:numId w:val="0"/>
        </w:numPr>
        <w:ind w:left="1340" w:leftChars="0"/>
        <w:jc w:val="left"/>
        <w:rPr>
          <w:rFonts w:hint="default"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无国有资产占用情况，已登记入册的固定资产已投入正常的教育教学工作中。</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2022年度“三公”经费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支出决算</w:t>
      </w:r>
      <w:r>
        <w:rPr>
          <w:rFonts w:hint="eastAsia" w:ascii="仿宋_GB2312" w:hAnsi="仿宋_GB2312" w:eastAsia="仿宋_GB2312" w:cs="仿宋_GB2312"/>
          <w:sz w:val="32"/>
          <w:szCs w:val="32"/>
          <w:lang w:val="en-US" w:eastAsia="zh-CN"/>
        </w:rPr>
        <w:t>为0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lang w:val="en-US" w:eastAsia="zh-CN"/>
        </w:rPr>
        <w:t>未配备公务用车。</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w:t>
      </w:r>
      <w:bookmarkStart w:id="0" w:name="_GoBack"/>
      <w:bookmarkEnd w:id="0"/>
      <w:r>
        <w:rPr>
          <w:rFonts w:hint="eastAsia" w:ascii="仿宋_GB2312" w:hAnsi="仿宋_GB2312" w:eastAsia="仿宋_GB2312" w:cs="仿宋_GB2312"/>
          <w:sz w:val="32"/>
          <w:szCs w:val="32"/>
          <w:lang w:val="zh-CN"/>
        </w:rPr>
        <w:t>算</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sz w:val="32"/>
          <w:szCs w:val="32"/>
          <w:lang w:val="en-US" w:eastAsia="zh-CN"/>
        </w:rPr>
        <w:t>未配备公务用车。</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hhYWQ3Zjg3Njk4YzJlMDVkYWJhMGM3YmU3MzMxNTg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66C4C52"/>
    <w:rsid w:val="06C40AE9"/>
    <w:rsid w:val="06E544F7"/>
    <w:rsid w:val="08DD573A"/>
    <w:rsid w:val="0D386A9E"/>
    <w:rsid w:val="11B25539"/>
    <w:rsid w:val="12A34BDD"/>
    <w:rsid w:val="17933E30"/>
    <w:rsid w:val="17A72FD2"/>
    <w:rsid w:val="1AD863F9"/>
    <w:rsid w:val="25207B77"/>
    <w:rsid w:val="302D2CFD"/>
    <w:rsid w:val="33107D3E"/>
    <w:rsid w:val="470E7B71"/>
    <w:rsid w:val="5D387615"/>
    <w:rsid w:val="5FA0124D"/>
    <w:rsid w:val="69AA14E4"/>
    <w:rsid w:val="6BB93516"/>
    <w:rsid w:val="6F9277B6"/>
    <w:rsid w:val="759325FB"/>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34</Pages>
  <Words>9235</Words>
  <Characters>13757</Characters>
  <Lines>107</Lines>
  <Paragraphs>30</Paragraphs>
  <TotalTime>1</TotalTime>
  <ScaleCrop>false</ScaleCrop>
  <LinksUpToDate>false</LinksUpToDate>
  <CharactersWithSpaces>13994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儒雅正之道</cp:lastModifiedBy>
  <cp:lastPrinted>2023-08-18T07:47:00Z</cp:lastPrinted>
  <dcterms:modified xsi:type="dcterms:W3CDTF">2023-09-20T15:35:00Z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