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商务局</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left="640" w:leftChars="305"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（一）贯彻落实国家有关内外贸易、国际经济合作、经济协作和境外招商引资的发展战略、方针政策；制订全县商务领域规章、制度、标准和发展规划。</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二）研究制订全县规范流通领域市场体系及流通秩序的政策，促进内外贸易结合，建立健全统一、开放、竞争、有序的市场体系；监测分析市场运行和商品供求状况，组织实施重要消费品市场流通管理；研究提出流通体制改革意见，培育发展城乡市场，推进流通产业结构调整及现代流通方式和组织形式现代化，加强本系统的安全生产管理。</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三）调查研究流通行业重大问题，提出政策建议；负责对酒类重要商品的流通管理；负责拍卖、典当、租赁、汽车、旧货流通活动的监督管理；负责石油成品油市场管理及批发、仓储、零售经营资格的审核报批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（四）执行国家制定的进出商品管理办法、进出口商品目标和进出口商品配额政策；负责进出口配额计划的编报、下达和组织实施及配额、许可证的审报工作。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（五）负责推动商贸流通科技信息化建设和电子商务的发展，会同有关部门管理商贸流通各类业务资金、专项基金，组织、指导商贸流通业职工技能培训和有关特有工种职业技能鉴定。</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（六）负责全县商务系统涉及世贸组织相关事务的研究、指导和服务工作；组织协调反倾销、反补贴、保障措施及其他与进出口公平交易相关的工作；组织全县产业损害调查；组织科技兴贸战略在全县的实施。</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七）负责全县对外经济合作工作；指导和监督对外承包工程、劳务合作、设计咨询、境外投资等业务的管理；负责争取和接受联合国及其他国际组织或国外政府、民间组织对我县的多边、双边无偿援助项目及赠款的申报、组织和协调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（八）负责组织开展全县区域内外贸易专业批发市场和大型营销设施项目的规划、布局、论证、立项和物资配套供应，并负责监督管理各类专业市场的规范运营。</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（九）负责国家、省、州、县投资及划拨的调控资金、专项资金的管理，承担政府授权流通范围内的国有资产的管理，依法行使国有股权。</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（十）负责中国·兰州投资贸易洽谈会等节会的组织和实施工作；归口管理各类涉外商务交易会、展览会、展销会等活动；制订并实施赴境外举办上述活动的管理办法。</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（十一）负责全县商务新闻发布会、宣传工作和提供信息咨询服务，指导全县流通领域信息网络和电子商务建设。</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（十二）负责全县经济协作和驻外机构的协调管理工作。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（十三）指导全县商贸流通行业协会、学会等社团组织工作。</w:t>
      </w:r>
    </w:p>
    <w:p>
      <w:pPr>
        <w:spacing w:line="640" w:lineRule="exact"/>
        <w:ind w:left="640" w:leftChars="305" w:firstLine="640" w:firstLineChars="200"/>
        <w:rPr>
          <w:rFonts w:hint="eastAsia" w:ascii="仿宋_GB2312" w:hAnsi="仿宋_GB2312" w:eastAsia="仿宋_GB2312" w:cs="仿宋_GB2312"/>
          <w:color w:val="auto"/>
          <w:sz w:val="32"/>
          <w:szCs w:val="32"/>
          <w:lang w:val="zh-CN"/>
        </w:rPr>
      </w:pPr>
      <w:r>
        <w:rPr>
          <w:rFonts w:hint="eastAsia" w:ascii="仿宋_GB2312" w:hAnsi="仿宋" w:eastAsia="仿宋_GB2312" w:cs="仿宋"/>
          <w:sz w:val="32"/>
          <w:szCs w:val="32"/>
        </w:rPr>
        <w:t>（十四）承办县委、县政府交办的其他事项。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spacing w:line="640" w:lineRule="exact"/>
        <w:ind w:firstLine="645"/>
        <w:rPr>
          <w:rFonts w:hint="default" w:ascii="仿宋_GB2312" w:hAnsi="黑体" w:eastAsia="仿宋_GB2312"/>
          <w:b/>
          <w:bCs/>
          <w:sz w:val="32"/>
          <w:szCs w:val="32"/>
          <w:lang w:val="en-US" w:eastAsia="zh-CN"/>
        </w:rPr>
      </w:pPr>
      <w:r>
        <w:rPr>
          <w:rFonts w:hint="eastAsia" w:ascii="仿宋_GB2312" w:hAnsi="Times New Roman" w:eastAsia="仿宋_GB2312" w:cs="Times New Roman"/>
          <w:b w:val="0"/>
          <w:bCs w:val="0"/>
          <w:sz w:val="32"/>
          <w:szCs w:val="32"/>
          <w:lang w:eastAsia="zh-CN"/>
        </w:rPr>
        <w:t>东乡县商务局内设</w:t>
      </w:r>
      <w:r>
        <w:rPr>
          <w:rFonts w:hint="eastAsia" w:ascii="仿宋_GB2312" w:hAnsi="Times New Roman" w:eastAsia="仿宋_GB2312" w:cs="Times New Roman"/>
          <w:b w:val="0"/>
          <w:bCs w:val="0"/>
          <w:sz w:val="32"/>
          <w:szCs w:val="32"/>
          <w:lang w:val="en-US" w:eastAsia="zh-CN"/>
        </w:rPr>
        <w:t>10业务股室，2个</w:t>
      </w:r>
      <w:r>
        <w:rPr>
          <w:rFonts w:hint="eastAsia" w:ascii="仿宋_GB2312" w:hAnsi="Times New Roman" w:eastAsia="仿宋_GB2312" w:cs="Times New Roman"/>
          <w:b w:val="0"/>
          <w:bCs w:val="0"/>
          <w:sz w:val="32"/>
          <w:szCs w:val="32"/>
          <w:lang w:eastAsia="zh-CN"/>
        </w:rPr>
        <w:t>副科级事业单位。</w:t>
      </w:r>
    </w:p>
    <w:p>
      <w:pPr>
        <w:ind w:firstLine="630" w:firstLineChars="196"/>
        <w:rPr>
          <w:rFonts w:hint="eastAsia" w:ascii="仿宋_GB2312" w:hAnsi="仿宋" w:eastAsia="仿宋_GB2312" w:cs="仿宋"/>
          <w:sz w:val="32"/>
        </w:rPr>
      </w:pPr>
      <w:r>
        <w:rPr>
          <w:rFonts w:hint="eastAsia" w:ascii="仿宋_GB2312" w:hAnsi="仿宋" w:eastAsia="仿宋_GB2312" w:cs="仿宋"/>
          <w:b/>
          <w:bCs/>
          <w:sz w:val="32"/>
        </w:rPr>
        <w:t>（一）办公室</w:t>
      </w:r>
    </w:p>
    <w:p>
      <w:pPr>
        <w:rPr>
          <w:rFonts w:hint="eastAsia" w:ascii="仿宋_GB2312" w:hAnsi="仿宋" w:eastAsia="仿宋_GB2312" w:cs="仿宋"/>
          <w:sz w:val="32"/>
        </w:rPr>
      </w:pPr>
      <w:r>
        <w:rPr>
          <w:rFonts w:hint="eastAsia" w:ascii="仿宋_GB2312" w:hAnsi="仿宋" w:eastAsia="仿宋_GB2312" w:cs="仿宋"/>
          <w:sz w:val="32"/>
        </w:rPr>
        <w:t xml:space="preserve">    拟订局机关工作规章制度，负责局机关公务运转的组织协调工作；负责文电运转、会议组织、新闻发布、政务信息、秘书事务等日常政务，管理机关行政事务工作；负责局机关保密、档案管理、信访和安全保卫工作；负责局机关公务员、后勤服务人员的培训、考勤、考核和奖罚；负责局机关普法、来信来访综合治理、政治业务学习、精神文明建设、计划生育等工作；负责机关接待外事礼宾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（二）财务计划股</w:t>
      </w:r>
    </w:p>
    <w:p>
      <w:pPr>
        <w:rPr>
          <w:rFonts w:hint="eastAsia" w:ascii="仿宋_GB2312" w:hAnsi="仿宋" w:eastAsia="仿宋_GB2312" w:cs="仿宋"/>
          <w:sz w:val="32"/>
        </w:rPr>
      </w:pPr>
      <w:r>
        <w:rPr>
          <w:rFonts w:hint="eastAsia" w:ascii="仿宋_GB2312" w:hAnsi="仿宋" w:eastAsia="仿宋_GB2312" w:cs="仿宋"/>
          <w:sz w:val="32"/>
        </w:rPr>
        <w:t xml:space="preserve">    拟订财务管理制度，负责本系统财务监督管理工作；对授权范围内的国有资产进行监管、考核、年度审验、资产报废审核等工作；定期统计上报全县商贸流通、市场运行报表，并进行业务指导；负责州内外、省内外、国外各种洽谈会、交易会、展览会等资金管理和财务清算工作；负责局机关行政经费的收支审核及日常会计核算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(三)市场管理股</w:t>
      </w:r>
    </w:p>
    <w:p>
      <w:pPr>
        <w:rPr>
          <w:rFonts w:hint="eastAsia" w:ascii="仿宋_GB2312" w:hAnsi="仿宋" w:eastAsia="仿宋_GB2312" w:cs="仿宋"/>
          <w:sz w:val="32"/>
        </w:rPr>
      </w:pPr>
      <w:r>
        <w:rPr>
          <w:rFonts w:hint="eastAsia" w:ascii="仿宋_GB2312" w:hAnsi="仿宋" w:eastAsia="仿宋_GB2312" w:cs="仿宋"/>
          <w:sz w:val="32"/>
        </w:rPr>
        <w:t xml:space="preserve">    负责组织实施深化流通体制改革、市场体系建设，拍卖、典当、租赁、旧货等特殊流通行业市场准入等方面的法规、政策、规章、标准并指导专业技术人员的培训；负责组织实施大商贸、大流通、大市场工作；研究提出连锁经营、物流配送、电子商务等现代流通方式的发展规划并组织实施；负责汽车市场、旧机动车市场、石油成品油市场等监督管理；指导城乡商业网点规划、布局；监测、分析市场运行和重要商品供求状况；负责市场预测、预警和信息发布；组织实施重要消费品市场的调控工作，负责重要商品储备、监督和管理。</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（四）服务行业监管股</w:t>
      </w:r>
    </w:p>
    <w:p>
      <w:pPr>
        <w:rPr>
          <w:rFonts w:hint="eastAsia" w:ascii="仿宋_GB2312" w:hAnsi="仿宋" w:eastAsia="仿宋_GB2312" w:cs="仿宋"/>
          <w:sz w:val="32"/>
        </w:rPr>
      </w:pPr>
      <w:r>
        <w:rPr>
          <w:rFonts w:hint="eastAsia" w:ascii="仿宋_GB2312" w:hAnsi="仿宋" w:eastAsia="仿宋_GB2312" w:cs="仿宋"/>
          <w:sz w:val="32"/>
        </w:rPr>
        <w:t xml:space="preserve">    拟订全县饮食服务业发展规划、行业规章、市场规划、技术服务质量和等级标准；负责对全县餐饮、宾馆饭店、洗浴、美发美容、洗染、人像摄影等行业的监督管理；负责组织全县酒店、洗浴、美发美容、洗染、人像摄影营业等级评定，指导专业技术人员的业务培训和认定发证、归口管理全县商贸流通行业协会、学会等社团组织工作；贯彻落实国家、省州上有关食品放心工程、绿色工程等法规和政策；负责全县流通领域食品安全检测体系的建立、食品准入制度的贯彻执行；负责全县流通领域食品加工行业专业技术人员的业务技术培训。</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（五）外贸股</w:t>
      </w:r>
    </w:p>
    <w:p>
      <w:pPr>
        <w:rPr>
          <w:rFonts w:hint="eastAsia" w:ascii="仿宋_GB2312" w:hAnsi="仿宋" w:eastAsia="仿宋_GB2312" w:cs="仿宋"/>
          <w:sz w:val="32"/>
        </w:rPr>
      </w:pPr>
      <w:r>
        <w:rPr>
          <w:rFonts w:hint="eastAsia" w:ascii="仿宋_GB2312" w:hAnsi="仿宋" w:eastAsia="仿宋_GB2312" w:cs="仿宋"/>
          <w:sz w:val="32"/>
        </w:rPr>
        <w:t xml:space="preserve">    拟订和落实全县对外贸发展规划、组织年度出口商品计划的实施，负责重要工业品、原材料、农产品的进出口管理工作；协调审报进出口商品许可证发放及申请各类配额；承办企业外贸经营资格及进出口商品经营范围的审核、申报；指导和扶持出口商品基地建设；负责机电产品进出口管理工作；负责组织科技兴贸战略在全县的实施，拟订鼓励高新技术产品出口的政策措施，归口管理高新技术产品的出口、技术贸易及涉及到进出口管制的商品管理，负责进出口统计工作；负责外商投资企业在当地或境外发生的经济纠纷和案件的调解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（六）外资外经股</w:t>
      </w:r>
    </w:p>
    <w:p>
      <w:pPr>
        <w:rPr>
          <w:rFonts w:hint="eastAsia" w:ascii="仿宋_GB2312" w:hAnsi="仿宋" w:eastAsia="仿宋_GB2312" w:cs="仿宋"/>
          <w:b/>
          <w:sz w:val="32"/>
        </w:rPr>
      </w:pPr>
      <w:r>
        <w:rPr>
          <w:rFonts w:hint="eastAsia" w:ascii="仿宋_GB2312" w:hAnsi="仿宋" w:eastAsia="仿宋_GB2312" w:cs="仿宋"/>
          <w:sz w:val="32"/>
        </w:rPr>
        <w:t xml:space="preserve">    拟订外商投资、对外经济技术合作、承包工程、劳务合作及政策法规和中长期规划；负责全县外商投资企业合同、章程和各项重大变更事项的审核审批；负责审核各类进出口及“三来一补”项目；监督检查外商投资企业合同、章程履行情况；会同有关部门征集、筛选外商投资项目及外资企业的后期管理工人；负责承办全县对外经济合作工作；负责争取接受联合国、友好国家、国际民间组织无偿援助和赠款项目的实施和管理工作；编报项目中长期规划和年度执行方案；审查、申报、争取无偿援助和赠款项目，跟踪监督检查受援项目的执行情况和资金的使用情况及贷款归还情况；负责受援资金和设备的审批、管理与使用；负责对外谈判，接待项目来访官员和专家；负责组织“走出去”战略的贯彻实施；负责对直接投资、对外承包工程和对外劳务合作的监测、分析及统计工作；负责对外经济合作企业经营资格的审核、报批；负责全县境外投资项目的审批和管理工作；归口管理外派劳务人员出国前的培训工作，负责组织外经企业管理人员的业务培训；负责外商长驻我县机构的审批、管理。</w:t>
      </w:r>
    </w:p>
    <w:p>
      <w:pPr>
        <w:rPr>
          <w:rFonts w:hint="eastAsia" w:ascii="仿宋_GB2312" w:hAnsi="仿宋" w:eastAsia="仿宋_GB2312" w:cs="仿宋"/>
          <w:b/>
          <w:bCs/>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（七）电子商务股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rPr>
        <w:t>帮助县域相关企业从事电子商务活动；</w:t>
      </w:r>
      <w:r>
        <w:rPr>
          <w:rFonts w:hint="eastAsia" w:ascii="仿宋_GB2312" w:hAnsi="仿宋" w:eastAsia="仿宋_GB2312" w:cs="仿宋"/>
          <w:sz w:val="32"/>
          <w:szCs w:val="32"/>
        </w:rPr>
        <w:t>建立健全与电子商务相配套的支付和信用体系；完善物流配送体系；落实政府出台关于电子商务的扶持政策和相关的法律法规；倡导成立电商协会，帮助完成了内部的自律、信息的对接、对外的宣传和标准的制订等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（八）打击侵犯知识产权和制售假冒伪劣商品办公室</w:t>
      </w:r>
    </w:p>
    <w:p>
      <w:pPr>
        <w:widowControl/>
        <w:spacing w:before="225" w:after="75" w:line="360" w:lineRule="atLeast"/>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负责县域打击侵犯</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"http://baike.baidu.com/view/18255.htm"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知识产权</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和制售</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"http://baike.baidu.com/view/4653445.htm"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假冒伪劣</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商品专项行动，推动建立长效工作机制；督促检查各乡镇、各部门专项行动落实情况；督办侵犯知识产权和制售假冒伪劣商品重大案件。</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（九）投资贸易促进中心</w:t>
      </w:r>
    </w:p>
    <w:p>
      <w:pPr>
        <w:ind w:firstLine="640" w:firstLineChars="200"/>
        <w:rPr>
          <w:rFonts w:hint="eastAsia" w:ascii="仿宋_GB2312" w:hAnsi="仿宋" w:eastAsia="仿宋_GB2312" w:cs="仿宋"/>
          <w:sz w:val="32"/>
        </w:rPr>
      </w:pPr>
      <w:r>
        <w:rPr>
          <w:rFonts w:hint="eastAsia" w:ascii="仿宋_GB2312" w:hAnsi="仿宋" w:eastAsia="仿宋_GB2312" w:cs="仿宋"/>
          <w:sz w:val="32"/>
        </w:rPr>
        <w:t>负责兰洽会的组织和实施工作；归口管理各类涉外商务交易会、展览会、展销会等活动，制定并实施开展上述活动的管理办法。</w:t>
      </w:r>
    </w:p>
    <w:p>
      <w:pPr>
        <w:rPr>
          <w:rFonts w:hint="eastAsia" w:ascii="仿宋_GB2312" w:hAnsi="仿宋" w:eastAsia="仿宋_GB2312" w:cs="仿宋"/>
          <w:sz w:val="32"/>
        </w:rPr>
      </w:pPr>
      <w:r>
        <w:rPr>
          <w:rFonts w:hint="eastAsia" w:ascii="仿宋_GB2312" w:hAnsi="仿宋" w:eastAsia="仿宋_GB2312" w:cs="仿宋"/>
          <w:b/>
          <w:bCs/>
          <w:sz w:val="32"/>
        </w:rPr>
        <w:t xml:space="preserve">   （十）商务综合行政执法大队</w:t>
      </w:r>
      <w:r>
        <w:rPr>
          <w:rFonts w:hint="eastAsia" w:ascii="仿宋_GB2312" w:hAnsi="仿宋" w:eastAsia="仿宋_GB2312" w:cs="仿宋"/>
          <w:sz w:val="32"/>
        </w:rPr>
        <w:t xml:space="preserve">   </w:t>
      </w:r>
    </w:p>
    <w:p>
      <w:pPr>
        <w:ind w:firstLine="640"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sz w:val="32"/>
        </w:rPr>
        <w:t>贯彻执行国家、省有关法律、法规、规章赋予县级商务主管部门履行的行政执法职能；负责全县酒类商品流通、服务行业、再生资源回收、成品油市场监管及商贸流通领域的行政执法工作；接受并查处社会公众对商务领域扰乱市场秩序行为的举报投诉；面向社会公众和企业提供商务领域有关法律、法规、规章、规范性文件，以及行政审批和办事程序等方面的咨询、指导服务；负责全县商务行政执法的综合协调，接受上级商务行政执法机构的监督指导。</w:t>
      </w:r>
      <w:r>
        <w:rPr>
          <w:rFonts w:hint="eastAsia" w:ascii="仿宋_GB2312" w:eastAsia="仿宋_GB2312"/>
          <w:b w:val="0"/>
          <w:bCs w:val="0"/>
          <w:sz w:val="32"/>
          <w:szCs w:val="32"/>
        </w:rPr>
        <w:t>1</w:t>
      </w:r>
      <w:r>
        <w:rPr>
          <w:rFonts w:hint="eastAsia" w:ascii="仿宋_GB2312" w:hAnsi="Times New Roman" w:eastAsia="仿宋_GB2312" w:cs="Times New Roman"/>
          <w:b w:val="0"/>
          <w:bCs w:val="0"/>
          <w:sz w:val="32"/>
          <w:szCs w:val="32"/>
        </w:rPr>
        <w:t>、</w:t>
      </w:r>
      <w:r>
        <w:rPr>
          <w:rFonts w:hint="eastAsia" w:ascii="仿宋_GB2312" w:hAnsi="Times New Roman" w:eastAsia="仿宋_GB2312" w:cs="Times New Roman"/>
          <w:b w:val="0"/>
          <w:bCs w:val="0"/>
          <w:sz w:val="32"/>
          <w:szCs w:val="32"/>
          <w:lang w:val="en-US" w:eastAsia="zh-CN"/>
        </w:rPr>
        <w:t>东乡族自治县商务信息中心，县商务局下设股级事业单位，主要负责编制全县对外贸易发展的规划；负责对外引进技术项目、技术跟踪服务；负责“兰洽会”的组织实施</w:t>
      </w:r>
      <w:r>
        <w:rPr>
          <w:rFonts w:hint="eastAsia" w:ascii="仿宋_GB2312" w:hAnsi="Times New Roman" w:eastAsia="仿宋_GB2312" w:cs="Times New Roman"/>
          <w:b w:val="0"/>
          <w:bCs w:val="0"/>
          <w:sz w:val="32"/>
          <w:szCs w:val="32"/>
          <w:lang w:eastAsia="zh-CN"/>
        </w:rPr>
        <w:t>工作</w:t>
      </w:r>
      <w:r>
        <w:rPr>
          <w:rFonts w:hint="eastAsia" w:ascii="仿宋_GB2312" w:hAnsi="Times New Roman" w:eastAsia="仿宋_GB2312" w:cs="Times New Roman"/>
          <w:b w:val="0"/>
          <w:bCs w:val="0"/>
          <w:sz w:val="32"/>
          <w:szCs w:val="32"/>
        </w:rPr>
        <w:t>。</w:t>
      </w:r>
    </w:p>
    <w:p>
      <w:pPr>
        <w:numPr>
          <w:ilvl w:val="0"/>
          <w:numId w:val="1"/>
        </w:numPr>
        <w:ind w:firstLine="643"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b/>
          <w:bCs/>
          <w:sz w:val="32"/>
          <w:lang w:eastAsia="zh-CN"/>
        </w:rPr>
        <w:t>东乡族自治县电子商务中心</w:t>
      </w:r>
    </w:p>
    <w:p>
      <w:pPr>
        <w:numPr>
          <w:ilvl w:val="0"/>
          <w:numId w:val="0"/>
        </w:numPr>
        <w:ind w:firstLine="960" w:firstLineChars="300"/>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lang w:eastAsia="zh-CN"/>
        </w:rPr>
        <w:t>县商务局下设的副科级事业单位，主要负责指导电子商务建设，制定全县电子商务发展规划，推动电子商务信用法规和标准体系建设，建设电子商务统计和评价体系等工作</w:t>
      </w:r>
      <w:r>
        <w:rPr>
          <w:rFonts w:hint="eastAsia" w:ascii="仿宋_GB2312" w:hAnsi="Times New Roman" w:eastAsia="仿宋_GB2312" w:cs="Times New Roman"/>
          <w:b w:val="0"/>
          <w:bCs w:val="0"/>
          <w:sz w:val="32"/>
          <w:szCs w:val="32"/>
        </w:rPr>
        <w:t>。</w:t>
      </w:r>
    </w:p>
    <w:p>
      <w:pPr>
        <w:numPr>
          <w:ilvl w:val="0"/>
          <w:numId w:val="1"/>
        </w:numPr>
        <w:spacing w:line="600" w:lineRule="exact"/>
        <w:ind w:left="0" w:leftChars="0" w:firstLine="643" w:firstLineChars="200"/>
        <w:rPr>
          <w:rFonts w:hint="eastAsia" w:ascii="仿宋_GB2312" w:hAnsi="Times New Roman" w:eastAsia="仿宋_GB2312" w:cs="Times New Roman"/>
          <w:b w:val="0"/>
          <w:bCs w:val="0"/>
          <w:sz w:val="32"/>
          <w:szCs w:val="32"/>
          <w:lang w:eastAsia="zh-CN"/>
        </w:rPr>
      </w:pPr>
      <w:r>
        <w:rPr>
          <w:rFonts w:hint="eastAsia" w:ascii="仿宋_GB2312" w:hAnsi="仿宋" w:eastAsia="仿宋_GB2312" w:cs="仿宋"/>
          <w:b/>
          <w:bCs/>
          <w:sz w:val="32"/>
          <w:lang w:eastAsia="zh-CN"/>
        </w:rPr>
        <w:t>东乡族自治县美食产业发展中心</w:t>
      </w: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val="0"/>
          <w:bCs w:val="0"/>
          <w:sz w:val="32"/>
          <w:szCs w:val="32"/>
          <w:lang w:eastAsia="zh-CN"/>
        </w:rPr>
        <w:t>县商务局下设的副科级事业单位，主要负责全县美食产业发展的规划和统计工作。</w:t>
      </w: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numPr>
          <w:ilvl w:val="0"/>
          <w:numId w:val="0"/>
        </w:numPr>
        <w:spacing w:line="600" w:lineRule="exact"/>
        <w:ind w:leftChars="200" w:firstLine="960" w:firstLineChars="300"/>
        <w:rPr>
          <w:rFonts w:hint="eastAsia" w:ascii="仿宋_GB2312" w:hAnsi="Times New Roman" w:eastAsia="仿宋_GB2312" w:cs="Times New Roman"/>
          <w:b w:val="0"/>
          <w:bCs w:val="0"/>
          <w:sz w:val="32"/>
          <w:szCs w:val="32"/>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w:t>
      </w:r>
      <w:bookmarkStart w:id="0" w:name="_GoBack"/>
      <w:r>
        <w:rPr>
          <w:rFonts w:hint="eastAsia" w:ascii="仿宋_GB2312" w:hAnsi="仿宋_GB2312" w:eastAsia="仿宋_GB2312" w:cs="仿宋_GB2312"/>
          <w:b/>
          <w:color w:val="auto"/>
          <w:sz w:val="32"/>
          <w:szCs w:val="32"/>
          <w:lang w:val="zh-CN"/>
        </w:rPr>
        <w:t>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收入总计11403495.22元，支出总计11403495.22元，与2021年决算数相比，收入增加5893106.71元，增长106.95%，支出增加5893106.71元，增长106.95%。主要原因是服务业发展专项资金增加</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11379495.22</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11379495.22</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11403495.22</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6016651.97</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52.76</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5386843.25</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47.24</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11379495.22</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6109106.71</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115.91</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服务业发展专项资金增加</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zh-CN"/>
        </w:rPr>
        <w:t>11379495.22</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6109106.71</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115.91</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服务业发展专项资金增加</w:t>
      </w:r>
      <w:r>
        <w:rPr>
          <w:rFonts w:hint="eastAsia" w:ascii="仿宋_GB2312" w:hAnsi="仿宋_GB2312" w:eastAsia="仿宋_GB2312" w:cs="仿宋_GB2312"/>
          <w:color w:val="auto"/>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11379495.22</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6109106.71</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115.91</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服务业发展专项资金增加</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z w:val="32"/>
          <w:szCs w:val="32"/>
          <w:lang w:val="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4587314.64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4856449.33</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105.87</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492873.98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495908.76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100.62</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202510.08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203564.88</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100.52</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4.农林水支出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88000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新增公益性岗位工资</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820000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5362843.25</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654.01</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pacing w:val="0"/>
          <w:w w:val="100"/>
          <w:position w:val="0"/>
          <w:sz w:val="32"/>
          <w:szCs w:val="32"/>
          <w:lang w:val="en-US" w:eastAsia="zh-CN"/>
        </w:rPr>
        <w:t>服务业发展专项资金增加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365091.84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372729</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102.09</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6016651.97</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5466167.14</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1624694.34</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42.29</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人员经费用途主要包括基本工资、津贴补贴、奖金、绩效工资、机关事业单位基本养老保险缴费、职工基本医疗保险缴费、其他社会保障缴费、住房公积金、生活补助。</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550484.83</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7575.63</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1.36</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经费年底未支出</w:t>
      </w:r>
      <w:r>
        <w:rPr>
          <w:rFonts w:hint="eastAsia" w:ascii="仿宋_GB2312" w:hAnsi="仿宋_GB2312" w:eastAsia="仿宋_GB2312" w:cs="仿宋_GB2312"/>
          <w:color w:val="auto"/>
          <w:sz w:val="32"/>
          <w:szCs w:val="32"/>
          <w:lang w:val="zh-CN"/>
        </w:rPr>
        <w:t>。公用经费用途主要包括办公费、</w:t>
      </w:r>
      <w:r>
        <w:rPr>
          <w:rFonts w:hint="eastAsia" w:ascii="仿宋_GB2312" w:hAnsi="仿宋_GB2312" w:eastAsia="仿宋_GB2312" w:cs="仿宋_GB2312"/>
          <w:color w:val="auto"/>
          <w:sz w:val="32"/>
          <w:szCs w:val="32"/>
          <w:lang w:val="en-US" w:eastAsia="zh-CN"/>
        </w:rPr>
        <w:t>水</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电</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取暖</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差旅费、劳务费、工会经费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550484.83</w:t>
      </w:r>
      <w:r>
        <w:rPr>
          <w:rFonts w:hint="eastAsia" w:ascii="仿宋_GB2312" w:hAnsi="仿宋_GB2312" w:eastAsia="仿宋_GB2312" w:cs="仿宋_GB2312"/>
          <w:color w:val="auto"/>
          <w:sz w:val="32"/>
          <w:szCs w:val="32"/>
          <w:lang w:val="zh-CN"/>
        </w:rPr>
        <w:t>元,机关运行经费主要用于开支办公费、</w:t>
      </w:r>
      <w:r>
        <w:rPr>
          <w:rFonts w:hint="eastAsia" w:ascii="仿宋_GB2312" w:hAnsi="仿宋_GB2312" w:eastAsia="仿宋_GB2312" w:cs="仿宋_GB2312"/>
          <w:color w:val="auto"/>
          <w:sz w:val="32"/>
          <w:szCs w:val="32"/>
          <w:lang w:val="en-US" w:eastAsia="zh-CN"/>
        </w:rPr>
        <w:t>水</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电</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取暖</w:t>
      </w:r>
      <w:r>
        <w:rPr>
          <w:rFonts w:hint="eastAsia" w:ascii="仿宋_GB2312" w:hAnsi="仿宋_GB2312" w:eastAsia="仿宋_GB2312" w:cs="仿宋_GB2312"/>
          <w:color w:val="auto"/>
          <w:sz w:val="32"/>
          <w:szCs w:val="32"/>
          <w:lang w:val="zh-CN"/>
        </w:rPr>
        <w:t>费、</w:t>
      </w:r>
      <w:r>
        <w:rPr>
          <w:rFonts w:hint="eastAsia" w:ascii="仿宋_GB2312" w:hAnsi="仿宋_GB2312" w:eastAsia="仿宋_GB2312" w:cs="仿宋_GB2312"/>
          <w:color w:val="auto"/>
          <w:sz w:val="32"/>
          <w:szCs w:val="32"/>
          <w:lang w:val="en-US" w:eastAsia="zh-CN"/>
        </w:rPr>
        <w:t>差旅费、劳务费、工会经费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7575.63</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1.36</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经费年底未支出</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20000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20000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辆,其他用车主要是用于</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预算绩效管理工作开展情况</w:t>
      </w:r>
    </w:p>
    <w:p>
      <w:pPr>
        <w:pageBreakBefore w:val="0"/>
        <w:numPr>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rPr>
        <w:t>本部门</w:t>
      </w:r>
      <w:r>
        <w:rPr>
          <w:rFonts w:hint="eastAsia" w:ascii="仿宋_GB2312" w:hAnsi="仿宋_GB2312" w:eastAsia="仿宋_GB2312" w:cs="仿宋_GB2312"/>
          <w:color w:val="auto"/>
          <w:kern w:val="0"/>
          <w:sz w:val="32"/>
          <w:szCs w:val="32"/>
          <w:lang w:val="en-US" w:eastAsia="zh-CN"/>
        </w:rPr>
        <w:t>未开展绩效评价管理工作。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bookmarkEnd w:id="0"/>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FF0000"/>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FB087"/>
    <w:multiLevelType w:val="singleLevel"/>
    <w:tmpl w:val="AC6FB087"/>
    <w:lvl w:ilvl="0" w:tentative="0">
      <w:start w:val="11"/>
      <w:numFmt w:val="chineseCounting"/>
      <w:suff w:val="nothing"/>
      <w:lvlText w:val="（%1）"/>
      <w:lvlJc w:val="left"/>
      <w:rPr>
        <w:rFonts w:hint="eastAsia"/>
        <w:b/>
        <w:bCs/>
      </w:rPr>
    </w:lvl>
  </w:abstractNum>
  <w:abstractNum w:abstractNumId="1">
    <w:nsid w:val="C435CACC"/>
    <w:multiLevelType w:val="singleLevel"/>
    <w:tmpl w:val="C435CACC"/>
    <w:lvl w:ilvl="0" w:tentative="0">
      <w:start w:val="1"/>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5NmM3MDQwN2QzZTZjNWIyN2M4NGI5ODM3MDkifQ=="/>
  </w:docVars>
  <w:rsids>
    <w:rsidRoot w:val="00000000"/>
    <w:rsid w:val="02AA4B1F"/>
    <w:rsid w:val="0D386A9E"/>
    <w:rsid w:val="11B25539"/>
    <w:rsid w:val="12A34BDD"/>
    <w:rsid w:val="1AD863F9"/>
    <w:rsid w:val="302D2CFD"/>
    <w:rsid w:val="470E7B71"/>
    <w:rsid w:val="5D387615"/>
    <w:rsid w:val="69AA14E4"/>
    <w:rsid w:val="6A4A65C9"/>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7651</Characters>
  <Lines>0</Lines>
  <Paragraphs>0</Paragraphs>
  <TotalTime>14</TotalTime>
  <ScaleCrop>false</ScaleCrop>
  <LinksUpToDate>false</LinksUpToDate>
  <CharactersWithSpaces>7651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2023-09-15T02:59:04Z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