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auto"/>
          <w:sz w:val="52"/>
          <w:szCs w:val="52"/>
          <w:highlight w:val="none"/>
        </w:rPr>
      </w:pPr>
    </w:p>
    <w:p>
      <w:pPr>
        <w:jc w:val="center"/>
        <w:rPr>
          <w:rFonts w:ascii="方正小标宋简体" w:eastAsia="方正小标宋简体"/>
          <w:color w:val="auto"/>
          <w:sz w:val="52"/>
          <w:szCs w:val="52"/>
          <w:highlight w:val="none"/>
        </w:rPr>
      </w:pPr>
    </w:p>
    <w:p>
      <w:pPr>
        <w:jc w:val="center"/>
        <w:rPr>
          <w:rFonts w:ascii="楷体" w:hAnsi="楷体" w:eastAsia="楷体"/>
          <w:color w:val="auto"/>
          <w:sz w:val="30"/>
          <w:szCs w:val="30"/>
          <w:highlight w:val="none"/>
        </w:rPr>
      </w:pPr>
      <w:r>
        <w:rPr>
          <w:rFonts w:hint="eastAsia" w:ascii="方正小标宋简体" w:eastAsia="方正小标宋简体"/>
          <w:color w:val="auto"/>
          <w:sz w:val="72"/>
          <w:szCs w:val="72"/>
          <w:highlight w:val="none"/>
          <w:lang w:val="en-US" w:eastAsia="zh-CN"/>
        </w:rPr>
        <w:t>东乡族自治县柳树小学</w:t>
      </w:r>
      <w:r>
        <w:rPr>
          <w:rFonts w:hint="eastAsia" w:ascii="方正小标宋简体" w:eastAsia="方正小标宋简体"/>
          <w:color w:val="auto"/>
          <w:sz w:val="72"/>
          <w:szCs w:val="72"/>
          <w:highlight w:val="none"/>
        </w:rPr>
        <w:t>部门预算</w:t>
      </w: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（2022年度）</w:t>
      </w:r>
    </w:p>
    <w:p>
      <w:pPr>
        <w:tabs>
          <w:tab w:val="left" w:pos="12150"/>
        </w:tabs>
        <w:jc w:val="left"/>
        <w:rPr>
          <w:rFonts w:ascii="方正小标宋简体" w:eastAsia="方正小标宋简体"/>
          <w:color w:val="auto"/>
          <w:sz w:val="48"/>
          <w:szCs w:val="48"/>
          <w:highlight w:val="none"/>
        </w:rPr>
      </w:pPr>
      <w:r>
        <w:rPr>
          <w:rFonts w:ascii="方正小标宋简体" w:eastAsia="方正小标宋简体"/>
          <w:color w:val="auto"/>
          <w:sz w:val="48"/>
          <w:szCs w:val="48"/>
          <w:highlight w:val="none"/>
        </w:rPr>
        <w:tab/>
      </w:r>
    </w:p>
    <w:p>
      <w:pPr>
        <w:jc w:val="center"/>
        <w:rPr>
          <w:rFonts w:ascii="方正小标宋简体" w:eastAsia="方正小标宋简体"/>
          <w:color w:val="auto"/>
          <w:sz w:val="48"/>
          <w:szCs w:val="48"/>
          <w:highlight w:val="none"/>
        </w:rPr>
      </w:pP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2022年5月</w:t>
      </w:r>
    </w:p>
    <w:p>
      <w:pPr>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    录</w:t>
      </w:r>
    </w:p>
    <w:p>
      <w:pPr>
        <w:rPr>
          <w:rFonts w:ascii="仿宋_GB2312" w:hAnsi="黑体" w:eastAsia="仿宋_GB2312"/>
          <w:color w:val="auto"/>
          <w:sz w:val="32"/>
          <w:szCs w:val="32"/>
          <w:highlight w:val="none"/>
        </w:rPr>
      </w:pPr>
    </w:p>
    <w:p>
      <w:pPr>
        <w:rPr>
          <w:rFonts w:ascii="仿宋_GB2312" w:hAnsi="黑体" w:eastAsia="仿宋_GB2312"/>
          <w:color w:val="auto"/>
          <w:sz w:val="32"/>
          <w:szCs w:val="32"/>
          <w:highlight w:val="none"/>
        </w:rPr>
      </w:pPr>
    </w:p>
    <w:p>
      <w:pPr>
        <w:rPr>
          <w:rFonts w:ascii="仿宋_GB2312" w:hAnsi="黑体" w:eastAsia="仿宋_GB2312"/>
          <w:color w:val="auto"/>
          <w:sz w:val="32"/>
          <w:szCs w:val="32"/>
          <w:highlight w:val="none"/>
        </w:rPr>
      </w:pP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第一部分  部门概况</w:t>
      </w:r>
    </w:p>
    <w:p>
      <w:pPr>
        <w:spacing w:line="640" w:lineRule="exact"/>
        <w:ind w:firstLine="1564" w:firstLineChars="489"/>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一、部门职责</w:t>
      </w:r>
    </w:p>
    <w:p>
      <w:pPr>
        <w:spacing w:line="640" w:lineRule="exact"/>
        <w:ind w:firstLine="1590" w:firstLineChars="497"/>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二、机构设置</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第二部分  2022年部门预算表格</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一、2022年部门收支总表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二、2022年部门收入总表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三、2022年部门支出总表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四、2022年部门财政拨款收支总表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五、2022年部门一般公共预算支出表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六、2022年部门政府性基金预算支出表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七、2022年部门预算经济分类和对应的政府预算经济分类基本支出预算明细表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九、2022年部门政府采购预算表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十、2022年部门“三公”经费预算财政拨款情况表</w:t>
      </w:r>
      <w:r>
        <w:rPr>
          <w:rFonts w:hint="eastAsia" w:ascii="仿宋_GB2312" w:hAnsi="黑体" w:eastAsia="仿宋_GB2312"/>
          <w:color w:val="auto"/>
          <w:sz w:val="32"/>
          <w:szCs w:val="32"/>
          <w:highlight w:val="none"/>
        </w:rPr>
        <w:tab/>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第三部分  部门预算情况说明</w:t>
      </w:r>
    </w:p>
    <w:p>
      <w:pPr>
        <w:spacing w:line="640" w:lineRule="exact"/>
        <w:ind w:firstLine="1285" w:firstLineChars="400"/>
        <w:rPr>
          <w:rFonts w:ascii="仿宋_GB2312" w:hAnsi="黑体" w:eastAsia="仿宋_GB2312"/>
          <w:color w:val="auto"/>
          <w:sz w:val="32"/>
          <w:szCs w:val="32"/>
          <w:highlight w:val="none"/>
        </w:rPr>
      </w:pPr>
      <w:r>
        <w:rPr>
          <w:rFonts w:hint="eastAsia" w:ascii="仿宋_GB2312" w:hAnsi="黑体" w:eastAsia="仿宋_GB2312"/>
          <w:b/>
          <w:color w:val="auto"/>
          <w:sz w:val="32"/>
          <w:szCs w:val="32"/>
          <w:highlight w:val="none"/>
        </w:rPr>
        <w:t xml:space="preserve">  </w:t>
      </w:r>
      <w:r>
        <w:rPr>
          <w:rFonts w:hint="eastAsia" w:ascii="仿宋_GB2312" w:hAnsi="黑体" w:eastAsia="仿宋_GB2312"/>
          <w:color w:val="auto"/>
          <w:sz w:val="32"/>
          <w:szCs w:val="32"/>
          <w:highlight w:val="none"/>
        </w:rPr>
        <w:t>一、部门预算总体说明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二、部门一般公共预算支出情况说明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三、部门一般公共预算基本支出情况说明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四、部门“三公”经费情况说明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五、部门机关运行经费及政府采购预算情况说明</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第四部分  名词解释</w:t>
      </w: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52"/>
          <w:szCs w:val="52"/>
          <w:highlight w:val="none"/>
        </w:rPr>
      </w:pPr>
      <w:r>
        <w:rPr>
          <w:rFonts w:hint="eastAsia" w:ascii="仿宋_GB2312" w:hAnsi="黑体" w:eastAsia="仿宋_GB2312"/>
          <w:b/>
          <w:color w:val="auto"/>
          <w:sz w:val="52"/>
          <w:szCs w:val="52"/>
          <w:highlight w:val="none"/>
        </w:rPr>
        <w:t>第一部分  部门概况</w:t>
      </w:r>
    </w:p>
    <w:p>
      <w:pPr>
        <w:spacing w:line="640" w:lineRule="exact"/>
        <w:rPr>
          <w:rFonts w:ascii="黑体" w:hAnsi="黑体" w:eastAsia="黑体"/>
          <w:color w:val="auto"/>
          <w:sz w:val="32"/>
          <w:szCs w:val="32"/>
          <w:highlight w:val="none"/>
        </w:rPr>
      </w:pPr>
      <w:r>
        <w:rPr>
          <w:rFonts w:hint="eastAsia" w:ascii="仿宋_GB2312" w:hAnsi="黑体" w:eastAsia="仿宋_GB2312"/>
          <w:color w:val="auto"/>
          <w:sz w:val="32"/>
          <w:szCs w:val="32"/>
          <w:highlight w:val="none"/>
        </w:rPr>
        <w:t xml:space="preserve">  </w:t>
      </w:r>
    </w:p>
    <w:p>
      <w:pPr>
        <w:numPr>
          <w:ilvl w:val="0"/>
          <w:numId w:val="1"/>
        </w:numPr>
        <w:spacing w:line="64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部门职责</w:t>
      </w:r>
    </w:p>
    <w:p>
      <w:pPr>
        <w:spacing w:line="640" w:lineRule="exact"/>
        <w:ind w:firstLine="645"/>
        <w:rPr>
          <w:rFonts w:ascii="仿宋_GB2312" w:hAnsi="宋体" w:eastAsia="仿宋_GB2312" w:cs="宋体"/>
          <w:color w:val="auto"/>
          <w:kern w:val="0"/>
          <w:sz w:val="32"/>
          <w:szCs w:val="32"/>
          <w:highlight w:val="none"/>
        </w:rPr>
      </w:pPr>
      <w:r>
        <w:rPr>
          <w:rFonts w:hint="eastAsia" w:ascii="仿宋_GB2312" w:hAnsi="仿宋_GB2312" w:eastAsia="仿宋_GB2312" w:cs="仿宋_GB2312"/>
          <w:color w:val="auto"/>
          <w:sz w:val="32"/>
          <w:szCs w:val="32"/>
          <w:highlight w:val="none"/>
        </w:rPr>
        <w:t>1、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r>
        <w:rPr>
          <w:rFonts w:hint="eastAsia" w:ascii="仿宋_GB2312" w:hAnsi="仿宋_GB2312" w:eastAsia="仿宋_GB2312" w:cs="仿宋_GB2312"/>
          <w:color w:val="auto"/>
          <w:sz w:val="32"/>
          <w:szCs w:val="32"/>
          <w:highlight w:val="none"/>
          <w:lang w:val="en-US" w:eastAsia="zh-CN"/>
        </w:rPr>
        <w:t xml:space="preserve"> </w:t>
      </w:r>
    </w:p>
    <w:p>
      <w:pPr>
        <w:spacing w:line="640" w:lineRule="exact"/>
        <w:ind w:firstLine="645"/>
        <w:rPr>
          <w:rFonts w:ascii="黑体" w:hAnsi="黑体" w:eastAsia="黑体"/>
          <w:color w:val="auto"/>
          <w:sz w:val="32"/>
          <w:szCs w:val="32"/>
          <w:highlight w:val="none"/>
        </w:rPr>
      </w:pPr>
      <w:r>
        <w:rPr>
          <w:rFonts w:hint="eastAsia" w:ascii="黑体" w:hAnsi="黑体" w:eastAsia="黑体"/>
          <w:color w:val="auto"/>
          <w:sz w:val="32"/>
          <w:szCs w:val="32"/>
          <w:highlight w:val="none"/>
        </w:rPr>
        <w:t>二、机构设置</w:t>
      </w:r>
    </w:p>
    <w:p>
      <w:pPr>
        <w:ind w:firstLine="602" w:firstLineChars="200"/>
        <w:rPr>
          <w:rFonts w:hint="eastAsia" w:ascii="楷体_GB2312" w:eastAsia="楷体_GB2312"/>
          <w:b/>
          <w:color w:val="auto"/>
          <w:sz w:val="30"/>
          <w:szCs w:val="30"/>
          <w:highlight w:val="none"/>
          <w:lang w:eastAsia="zh-CN"/>
        </w:rPr>
      </w:pPr>
      <w:r>
        <w:rPr>
          <w:rFonts w:hint="eastAsia" w:ascii="楷体_GB2312" w:eastAsia="楷体_GB2312"/>
          <w:b/>
          <w:color w:val="auto"/>
          <w:sz w:val="30"/>
          <w:szCs w:val="30"/>
          <w:highlight w:val="none"/>
        </w:rPr>
        <w:t>根据上述职责，</w:t>
      </w:r>
      <w:r>
        <w:rPr>
          <w:rFonts w:hint="eastAsia" w:ascii="楷体_GB2312" w:eastAsia="楷体_GB2312"/>
          <w:b/>
          <w:color w:val="auto"/>
          <w:sz w:val="30"/>
          <w:szCs w:val="30"/>
          <w:highlight w:val="none"/>
          <w:lang w:eastAsia="zh-CN"/>
        </w:rPr>
        <w:t>柳树学区下</w:t>
      </w:r>
      <w:r>
        <w:rPr>
          <w:rFonts w:hint="eastAsia" w:ascii="楷体_GB2312" w:eastAsia="楷体_GB2312"/>
          <w:b/>
          <w:color w:val="auto"/>
          <w:sz w:val="30"/>
          <w:szCs w:val="30"/>
          <w:highlight w:val="none"/>
        </w:rPr>
        <w:t>设</w:t>
      </w:r>
      <w:r>
        <w:rPr>
          <w:rFonts w:hint="eastAsia" w:ascii="楷体_GB2312" w:eastAsia="楷体_GB2312"/>
          <w:b/>
          <w:color w:val="auto"/>
          <w:sz w:val="30"/>
          <w:szCs w:val="30"/>
          <w:highlight w:val="none"/>
          <w:lang w:val="en-US" w:eastAsia="zh-CN"/>
        </w:rPr>
        <w:t>6</w:t>
      </w:r>
      <w:r>
        <w:rPr>
          <w:rFonts w:hint="eastAsia" w:ascii="楷体_GB2312" w:eastAsia="楷体_GB2312"/>
          <w:b/>
          <w:color w:val="auto"/>
          <w:sz w:val="30"/>
          <w:szCs w:val="30"/>
          <w:highlight w:val="none"/>
        </w:rPr>
        <w:t>个内设机构</w:t>
      </w:r>
      <w:r>
        <w:rPr>
          <w:rFonts w:hint="eastAsia" w:ascii="楷体_GB2312" w:eastAsia="楷体_GB2312"/>
          <w:b/>
          <w:color w:val="auto"/>
          <w:sz w:val="30"/>
          <w:szCs w:val="30"/>
          <w:highlight w:val="none"/>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1.办公室</w:t>
      </w:r>
    </w:p>
    <w:p>
      <w:pPr>
        <w:widowControl w:val="0"/>
        <w:wordWrap/>
        <w:adjustRightInd/>
        <w:snapToGrid/>
        <w:spacing w:line="240" w:lineRule="auto"/>
        <w:ind w:left="0" w:leftChars="0" w:right="0" w:firstLine="1280" w:firstLineChars="4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综合协调，创造和谐的办公环境。围绕学校工作，协助校长、督促学校部门积极做好</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"http://www.eduzhai.net/jianli/"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，对各部门常规</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"http://www.eduzhai.net/jianli/"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开展情况进行统计，做好记录，及时向校长反馈</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信息</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，为学校决策提供参考依据。做好统筹协调</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"http://www.eduzhai.net/jianli/"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，整合部门之间的相关</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"http://www.eduzhai.net/jianli/"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，上情下达，下情上晓要及时、准确；做部门之间沟通的桥梁，维护好学校班子的团结，提高</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"http://www.eduzhai.net/jianli/"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效率；上传下达，创设畅通的</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信息</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"http://www.eduzhai.net/jianli/"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，确保有序的运转机制。及时出好会议通知、</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"http://www.eduzhai.net/jianli/"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安排通知、节假日放假安排等通知；安排好节、假日的</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"http://www.eduzhai.net/falv/"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行政</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值班</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"http://www.eduzhai.net/jianli/"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"http://www.eduzhai.net/jianli/" \t "_blank"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，做好合理的招待安排，按照规定备办接待用餐；加强劳动纪律管理工作：制定考勤制度，严格履行请假手续；建立行政办档案，做到事事有记载，人人可查询。</w:t>
      </w:r>
    </w:p>
    <w:p>
      <w:pPr>
        <w:widowControl w:val="0"/>
        <w:wordWrap/>
        <w:adjustRightInd/>
        <w:snapToGrid/>
        <w:spacing w:line="240" w:lineRule="auto"/>
        <w:ind w:right="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2.教务处</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协助校长贯彻执行党和国家的教育方针，按教育规律办学，全面完成教育教学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widowControl w:val="0"/>
        <w:wordWrap/>
        <w:adjustRightInd/>
        <w:snapToGrid/>
        <w:spacing w:line="240" w:lineRule="auto"/>
        <w:ind w:right="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3.政教处</w:t>
      </w:r>
    </w:p>
    <w:p>
      <w:pPr>
        <w:widowControl w:val="0"/>
        <w:wordWrap/>
        <w:adjustRightInd/>
        <w:snapToGrid/>
        <w:spacing w:line="24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widowControl w:val="0"/>
        <w:wordWrap/>
        <w:adjustRightInd/>
        <w:snapToGrid/>
        <w:spacing w:line="240" w:lineRule="auto"/>
        <w:ind w:right="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4.教研室</w:t>
      </w:r>
    </w:p>
    <w:p>
      <w:pPr>
        <w:widowControl w:val="0"/>
        <w:wordWrap/>
        <w:adjustRightInd/>
        <w:snapToGrid/>
        <w:spacing w:line="24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5.总务处</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en-US" w:eastAsia="zh-CN"/>
        </w:rPr>
        <w:t>6.德育处</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spacing w:line="840" w:lineRule="exact"/>
        <w:ind w:left="1767"/>
        <w:rPr>
          <w:rFonts w:ascii="仿宋_GB2312" w:hAnsi="黑体" w:eastAsia="仿宋_GB2312"/>
          <w:b/>
          <w:color w:val="auto"/>
          <w:sz w:val="44"/>
          <w:szCs w:val="44"/>
          <w:highlight w:val="none"/>
        </w:rPr>
      </w:pPr>
    </w:p>
    <w:p>
      <w:pPr>
        <w:spacing w:line="840" w:lineRule="exact"/>
        <w:ind w:left="1767"/>
        <w:rPr>
          <w:rFonts w:ascii="仿宋_GB2312" w:hAnsi="黑体" w:eastAsia="仿宋_GB2312"/>
          <w:b/>
          <w:color w:val="auto"/>
          <w:sz w:val="44"/>
          <w:szCs w:val="44"/>
          <w:highlight w:val="none"/>
        </w:rPr>
      </w:pPr>
    </w:p>
    <w:p>
      <w:pPr>
        <w:spacing w:line="840" w:lineRule="exact"/>
        <w:ind w:left="1767"/>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 xml:space="preserve">第二部分  2022年部门预算表格  </w:t>
      </w:r>
      <w:r>
        <w:rPr>
          <w:rFonts w:hint="eastAsia" w:ascii="仿宋_GB2312" w:hAnsi="黑体" w:eastAsia="仿宋_GB2312"/>
          <w:color w:val="auto"/>
          <w:sz w:val="32"/>
          <w:szCs w:val="32"/>
          <w:highlight w:val="none"/>
        </w:rPr>
        <w:t xml:space="preserve">  </w:t>
      </w: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840" w:lineRule="exact"/>
        <w:jc w:val="center"/>
        <w:rPr>
          <w:rFonts w:ascii="仿宋_GB2312" w:hAnsi="黑体" w:eastAsia="仿宋_GB2312"/>
          <w:b/>
          <w:color w:val="auto"/>
          <w:sz w:val="52"/>
          <w:szCs w:val="52"/>
          <w:highlight w:val="none"/>
        </w:rPr>
      </w:pPr>
      <w:r>
        <w:rPr>
          <w:rFonts w:hint="eastAsia" w:ascii="仿宋_GB2312" w:eastAsia="仿宋_GB2312"/>
          <w:color w:val="auto"/>
          <w:sz w:val="32"/>
          <w:szCs w:val="32"/>
          <w:highlight w:val="none"/>
        </w:rPr>
        <w:t>(本部分共公开</w:t>
      </w:r>
      <w:r>
        <w:rPr>
          <w:rFonts w:ascii="仿宋_GB2312" w:eastAsia="仿宋_GB2312"/>
          <w:color w:val="auto"/>
          <w:sz w:val="32"/>
          <w:szCs w:val="32"/>
          <w:highlight w:val="none"/>
        </w:rPr>
        <w:t>10</w:t>
      </w:r>
      <w:r>
        <w:rPr>
          <w:rFonts w:hint="eastAsia" w:ascii="仿宋_GB2312" w:eastAsia="仿宋_GB2312"/>
          <w:color w:val="auto"/>
          <w:sz w:val="32"/>
          <w:szCs w:val="32"/>
          <w:highlight w:val="none"/>
        </w:rPr>
        <w:t>张表，具体按通知要求公开，注意表格顺序和连续性)</w:t>
      </w: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第三部分  部门预算情况说明</w:t>
      </w:r>
      <w:r>
        <w:rPr>
          <w:rFonts w:hint="eastAsia" w:ascii="仿宋_GB2312" w:hAnsi="黑体" w:eastAsia="仿宋_GB2312"/>
          <w:color w:val="auto"/>
          <w:sz w:val="32"/>
          <w:szCs w:val="32"/>
          <w:highlight w:val="none"/>
        </w:rPr>
        <w:t xml:space="preserve">  </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color w:val="auto"/>
          <w:sz w:val="32"/>
          <w:szCs w:val="32"/>
          <w:highlight w:val="none"/>
        </w:rPr>
        <w:t>2022年预算收入</w:t>
      </w:r>
      <w:r>
        <w:rPr>
          <w:rFonts w:hint="eastAsia" w:ascii="仿宋_GB2312" w:hAnsi="黑体" w:eastAsia="仿宋_GB2312"/>
          <w:color w:val="auto"/>
          <w:sz w:val="32"/>
          <w:szCs w:val="32"/>
          <w:highlight w:val="none"/>
        </w:rPr>
        <w:t>10627785.88</w:t>
      </w:r>
      <w:r>
        <w:rPr>
          <w:rFonts w:hint="eastAsia" w:ascii="仿宋_GB2312" w:hAnsi="黑体" w:eastAsia="仿宋_GB2312"/>
          <w:color w:val="auto"/>
          <w:sz w:val="32"/>
          <w:szCs w:val="32"/>
          <w:highlight w:val="none"/>
        </w:rPr>
        <w:t>元，其中：一般公共预算财政拨款收入</w:t>
      </w:r>
      <w:r>
        <w:rPr>
          <w:rFonts w:hint="eastAsia" w:ascii="仿宋_GB2312" w:hAnsi="黑体" w:eastAsia="仿宋_GB2312"/>
          <w:color w:val="auto"/>
          <w:sz w:val="32"/>
          <w:szCs w:val="32"/>
          <w:highlight w:val="none"/>
        </w:rPr>
        <w:t>10627785.88</w:t>
      </w:r>
      <w:r>
        <w:rPr>
          <w:rFonts w:hint="eastAsia" w:ascii="仿宋_GB2312" w:hAnsi="黑体" w:eastAsia="仿宋_GB2312"/>
          <w:color w:val="auto"/>
          <w:sz w:val="32"/>
          <w:szCs w:val="32"/>
          <w:highlight w:val="none"/>
        </w:rPr>
        <w:t>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10627785.88</w:t>
      </w:r>
      <w:r>
        <w:rPr>
          <w:rFonts w:hint="eastAsia" w:ascii="仿宋_GB2312" w:hAnsi="宋体" w:eastAsia="仿宋_GB2312"/>
          <w:color w:val="auto"/>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支出按功能分类科目安排为：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126616.56</w:t>
      </w:r>
      <w:r>
        <w:rPr>
          <w:rFonts w:hint="eastAsia" w:ascii="仿宋_GB2312" w:hAnsi="宋体" w:eastAsia="仿宋_GB2312"/>
          <w:color w:val="auto"/>
          <w:sz w:val="32"/>
          <w:szCs w:val="32"/>
          <w:highlight w:val="none"/>
        </w:rPr>
        <w:t>元，其中：财政拨款</w:t>
      </w:r>
      <w:r>
        <w:rPr>
          <w:rFonts w:hint="eastAsia" w:ascii="仿宋_GB2312" w:hAnsi="黑体" w:eastAsia="仿宋_GB2312"/>
          <w:color w:val="auto"/>
          <w:sz w:val="32"/>
          <w:szCs w:val="32"/>
          <w:highlight w:val="none"/>
        </w:rPr>
        <w:t>126616.56</w:t>
      </w:r>
      <w:r>
        <w:rPr>
          <w:rFonts w:hint="eastAsia" w:ascii="仿宋_GB2312" w:hAnsi="宋体" w:eastAsia="仿宋_GB2312"/>
          <w:color w:val="auto"/>
          <w:sz w:val="32"/>
          <w:szCs w:val="32"/>
          <w:highlight w:val="none"/>
        </w:rPr>
        <w:t>元。</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宋体" w:eastAsia="仿宋_GB2312"/>
          <w:color w:val="auto"/>
          <w:sz w:val="32"/>
          <w:szCs w:val="32"/>
          <w:highlight w:val="none"/>
        </w:rPr>
        <w:t>社会保障和就业支出</w:t>
      </w:r>
      <w:r>
        <w:rPr>
          <w:rFonts w:hint="eastAsia" w:ascii="仿宋_GB2312" w:hAnsi="黑体" w:eastAsia="仿宋_GB2312"/>
          <w:color w:val="auto"/>
          <w:sz w:val="32"/>
          <w:szCs w:val="32"/>
          <w:highlight w:val="none"/>
        </w:rPr>
        <w:t>1025594.14</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rPr>
        <w:t>。</w:t>
      </w:r>
    </w:p>
    <w:p>
      <w:pPr>
        <w:spacing w:line="640" w:lineRule="exact"/>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rPr>
        <w:t>卫生健康支出</w:t>
      </w:r>
      <w:r>
        <w:rPr>
          <w:rFonts w:hint="eastAsia" w:ascii="仿宋_GB2312" w:hAnsi="宋体" w:eastAsia="仿宋_GB2312"/>
          <w:color w:val="auto"/>
          <w:sz w:val="32"/>
          <w:szCs w:val="32"/>
          <w:highlight w:val="none"/>
        </w:rPr>
        <w:t>420791.82</w:t>
      </w:r>
      <w:r>
        <w:rPr>
          <w:rFonts w:hint="eastAsia" w:ascii="仿宋_GB2312" w:hAnsi="宋体" w:eastAsia="仿宋_GB2312"/>
          <w:color w:val="auto"/>
          <w:sz w:val="32"/>
          <w:szCs w:val="32"/>
          <w:highlight w:val="none"/>
          <w:lang w:val="en-US" w:eastAsia="zh-CN"/>
        </w:rPr>
        <w:t>元</w:t>
      </w:r>
      <w:r>
        <w:rPr>
          <w:rFonts w:hint="eastAsia" w:ascii="仿宋_GB2312" w:hAnsi="宋体" w:eastAsia="仿宋_GB2312"/>
          <w:color w:val="auto"/>
          <w:sz w:val="32"/>
          <w:szCs w:val="32"/>
          <w:highlight w:val="none"/>
        </w:rPr>
        <w:t>。</w:t>
      </w:r>
    </w:p>
    <w:p>
      <w:pPr>
        <w:spacing w:line="640" w:lineRule="exact"/>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eastAsia="zh-CN"/>
        </w:rPr>
        <w:t>住房保障支出</w:t>
      </w:r>
      <w:r>
        <w:rPr>
          <w:rFonts w:hint="eastAsia" w:ascii="仿宋_GB2312" w:hAnsi="宋体" w:eastAsia="仿宋_GB2312"/>
          <w:color w:val="auto"/>
          <w:sz w:val="32"/>
          <w:szCs w:val="32"/>
          <w:highlight w:val="none"/>
          <w:lang w:eastAsia="zh-CN"/>
        </w:rPr>
        <w:t>759699.36</w:t>
      </w:r>
      <w:r>
        <w:rPr>
          <w:rFonts w:hint="eastAsia" w:ascii="仿宋_GB2312" w:hAnsi="宋体" w:eastAsia="仿宋_GB2312"/>
          <w:color w:val="auto"/>
          <w:sz w:val="32"/>
          <w:szCs w:val="32"/>
          <w:highlight w:val="none"/>
          <w:lang w:val="en-US" w:eastAsia="zh-CN"/>
        </w:rPr>
        <w:t>元</w:t>
      </w:r>
      <w:r>
        <w:rPr>
          <w:rFonts w:hint="eastAsia" w:ascii="仿宋_GB2312" w:hAnsi="宋体" w:eastAsia="仿宋_GB2312"/>
          <w:color w:val="auto"/>
          <w:sz w:val="32"/>
          <w:szCs w:val="32"/>
          <w:highlight w:val="none"/>
        </w:rPr>
        <w:t>。</w:t>
      </w:r>
    </w:p>
    <w:p>
      <w:pPr>
        <w:spacing w:line="640" w:lineRule="exact"/>
        <w:ind w:firstLine="640" w:firstLineChars="200"/>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eastAsia="zh-CN"/>
        </w:rPr>
        <w:t>教育支出</w:t>
      </w:r>
      <w:r>
        <w:rPr>
          <w:rFonts w:hint="eastAsia" w:ascii="仿宋_GB2312" w:hAnsi="宋体" w:eastAsia="仿宋_GB2312"/>
          <w:color w:val="auto"/>
          <w:sz w:val="32"/>
          <w:szCs w:val="32"/>
          <w:highlight w:val="none"/>
          <w:lang w:eastAsia="zh-CN"/>
        </w:rPr>
        <w:t>8295084.00</w:t>
      </w:r>
      <w:r>
        <w:rPr>
          <w:rFonts w:hint="eastAsia" w:ascii="仿宋_GB2312" w:hAnsi="宋体" w:eastAsia="仿宋_GB2312"/>
          <w:color w:val="auto"/>
          <w:sz w:val="32"/>
          <w:szCs w:val="32"/>
          <w:highlight w:val="none"/>
          <w:lang w:val="en-US" w:eastAsia="zh-CN"/>
        </w:rPr>
        <w:t>元</w:t>
      </w:r>
      <w:r>
        <w:rPr>
          <w:rFonts w:hint="eastAsia" w:ascii="仿宋_GB2312" w:hAnsi="宋体" w:eastAsia="仿宋_GB2312"/>
          <w:color w:val="auto"/>
          <w:sz w:val="32"/>
          <w:szCs w:val="32"/>
          <w:highlight w:val="none"/>
        </w:rPr>
        <w:t>。</w:t>
      </w:r>
    </w:p>
    <w:p>
      <w:pPr>
        <w:spacing w:line="640" w:lineRule="exact"/>
        <w:ind w:firstLine="643" w:firstLineChars="2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支出按经济分类科目安排为：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工资福利支出</w:t>
      </w:r>
      <w:r>
        <w:rPr>
          <w:rFonts w:hint="eastAsia" w:ascii="仿宋_GB2312" w:hAnsi="黑体" w:eastAsia="仿宋_GB2312"/>
          <w:color w:val="auto"/>
          <w:sz w:val="32"/>
          <w:szCs w:val="32"/>
          <w:highlight w:val="none"/>
        </w:rPr>
        <w:t>10618236.88</w:t>
      </w:r>
      <w:r>
        <w:rPr>
          <w:rFonts w:hint="eastAsia" w:ascii="仿宋_GB2312" w:hAnsi="宋体" w:eastAsia="仿宋_GB2312"/>
          <w:color w:val="auto"/>
          <w:sz w:val="32"/>
          <w:szCs w:val="32"/>
          <w:highlight w:val="none"/>
        </w:rPr>
        <w:t>元。</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（一）一般公共服务支出（类）群众团体事务</w:t>
      </w:r>
      <w:r>
        <w:rPr>
          <w:rFonts w:hint="eastAsia" w:ascii="楷体_GB2312" w:hAnsi="黑体" w:eastAsia="楷体_GB2312"/>
          <w:b/>
          <w:color w:val="auto"/>
          <w:sz w:val="32"/>
          <w:szCs w:val="32"/>
          <w:highlight w:val="none"/>
        </w:rPr>
        <w:t>（款）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rPr>
        <w:t>126616.56</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rPr>
        <w:t>126616.56</w:t>
      </w:r>
      <w:r>
        <w:rPr>
          <w:rFonts w:hint="eastAsia" w:ascii="仿宋_GB2312" w:hAnsi="黑体" w:eastAsia="仿宋_GB2312"/>
          <w:color w:val="auto"/>
          <w:sz w:val="32"/>
          <w:szCs w:val="32"/>
          <w:highlight w:val="none"/>
        </w:rPr>
        <w:t>元。</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sz w:val="32"/>
          <w:szCs w:val="32"/>
          <w:highlight w:val="none"/>
          <w:lang w:eastAsia="zh-CN"/>
        </w:rPr>
        <w:t>行政事业单位养老支出</w:t>
      </w:r>
      <w:r>
        <w:rPr>
          <w:rFonts w:hint="eastAsia" w:ascii="仿宋_GB2312" w:hAnsi="黑体" w:eastAsia="仿宋_GB2312"/>
          <w:color w:val="auto"/>
          <w:sz w:val="32"/>
          <w:szCs w:val="32"/>
          <w:highlight w:val="none"/>
        </w:rPr>
        <w:t>（款）2022年预算支出1012932.48元，其中：</w:t>
      </w:r>
      <w:r>
        <w:rPr>
          <w:rFonts w:hint="eastAsia" w:ascii="仿宋_GB2312" w:hAnsi="黑体" w:eastAsia="仿宋_GB2312"/>
          <w:sz w:val="32"/>
          <w:szCs w:val="32"/>
          <w:highlight w:val="none"/>
        </w:rPr>
        <w:t>机关事业单位基本养老保险缴费支出</w:t>
      </w:r>
      <w:r>
        <w:rPr>
          <w:rFonts w:hint="eastAsia" w:ascii="仿宋_GB2312" w:hAnsi="黑体" w:eastAsia="仿宋_GB2312"/>
          <w:b/>
          <w:bCs/>
          <w:sz w:val="32"/>
          <w:szCs w:val="32"/>
          <w:highlight w:val="none"/>
        </w:rPr>
        <w:t>（项）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rPr>
        <w:t>1012932.48</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（款）2022年预算支出12661.66</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其中：财政对工伤保险基金的补助</w:t>
      </w:r>
      <w:r>
        <w:rPr>
          <w:rFonts w:hint="eastAsia" w:ascii="仿宋_GB2312" w:hAnsi="黑体" w:eastAsia="仿宋_GB2312"/>
          <w:b/>
          <w:bCs/>
          <w:sz w:val="32"/>
          <w:szCs w:val="32"/>
          <w:highlight w:val="none"/>
        </w:rPr>
        <w:t>（项</w:t>
      </w:r>
      <w:r>
        <w:rPr>
          <w:rFonts w:hint="eastAsia" w:ascii="仿宋_GB2312" w:hAnsi="黑体" w:eastAsia="仿宋_GB2312"/>
          <w:b/>
          <w:bCs/>
          <w:sz w:val="32"/>
          <w:szCs w:val="32"/>
          <w:highlight w:val="none"/>
          <w:lang w:eastAsia="zh-CN"/>
        </w:rPr>
        <w:t>）</w:t>
      </w:r>
      <w:r>
        <w:rPr>
          <w:rFonts w:hint="eastAsia" w:ascii="仿宋_GB2312" w:hAnsi="黑体" w:eastAsia="仿宋_GB2312"/>
          <w:color w:val="auto"/>
          <w:sz w:val="32"/>
          <w:szCs w:val="32"/>
          <w:highlight w:val="none"/>
        </w:rPr>
        <w:t>2022年预算支出</w:t>
      </w:r>
      <w:r>
        <w:rPr>
          <w:rFonts w:hint="eastAsia" w:ascii="仿宋_GB2312" w:hAnsi="黑体" w:eastAsia="仿宋_GB2312"/>
          <w:sz w:val="32"/>
          <w:szCs w:val="32"/>
          <w:highlight w:val="none"/>
        </w:rPr>
        <w:t>12661.66</w:t>
      </w:r>
      <w:r>
        <w:rPr>
          <w:rFonts w:hint="eastAsia" w:ascii="仿宋_GB2312" w:hAnsi="黑体" w:eastAsia="仿宋_GB2312"/>
          <w:sz w:val="32"/>
          <w:szCs w:val="32"/>
          <w:highlight w:val="none"/>
          <w:lang w:val="en-US" w:eastAsia="zh-CN"/>
        </w:rPr>
        <w:t>元。</w:t>
      </w:r>
    </w:p>
    <w:p>
      <w:pPr>
        <w:numPr>
          <w:ilvl w:val="0"/>
          <w:numId w:val="0"/>
        </w:num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lang w:val="en-US" w:eastAsia="zh-CN"/>
        </w:rPr>
        <w:t>三）</w:t>
      </w:r>
      <w:r>
        <w:rPr>
          <w:rFonts w:hint="eastAsia" w:ascii="楷体_GB2312" w:hAnsi="黑体" w:eastAsia="楷体_GB2312"/>
          <w:b/>
          <w:color w:val="auto"/>
          <w:sz w:val="32"/>
          <w:szCs w:val="32"/>
          <w:highlight w:val="none"/>
        </w:rPr>
        <w:t>卫生健康支出（类）</w:t>
      </w:r>
      <w:r>
        <w:rPr>
          <w:rFonts w:hint="eastAsia" w:ascii="仿宋_GB2312" w:hAnsi="黑体" w:eastAsia="仿宋_GB2312"/>
          <w:b/>
          <w:bCs/>
          <w:sz w:val="32"/>
          <w:szCs w:val="32"/>
          <w:highlight w:val="none"/>
          <w:lang w:eastAsia="zh-CN"/>
        </w:rPr>
        <w:t>财政对基本医疗保险基金的补助</w:t>
      </w:r>
      <w:r>
        <w:rPr>
          <w:rFonts w:hint="eastAsia" w:ascii="楷体_GB2312" w:hAnsi="黑体" w:eastAsia="楷体_GB2312"/>
          <w:b/>
          <w:color w:val="auto"/>
          <w:sz w:val="32"/>
          <w:szCs w:val="32"/>
          <w:highlight w:val="none"/>
        </w:rPr>
        <w:t>（款）</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2</w:t>
      </w:r>
      <w:r>
        <w:rPr>
          <w:rFonts w:hint="eastAsia" w:ascii="仿宋_GB2312" w:hAnsi="黑体" w:eastAsia="仿宋_GB2312"/>
          <w:color w:val="auto"/>
          <w:sz w:val="32"/>
          <w:szCs w:val="32"/>
          <w:highlight w:val="none"/>
        </w:rPr>
        <w:t>年预算支出</w:t>
      </w:r>
      <w:r>
        <w:rPr>
          <w:rFonts w:hint="eastAsia" w:ascii="仿宋_GB2312" w:hAnsi="宋体" w:eastAsia="仿宋_GB2312"/>
          <w:color w:val="auto"/>
          <w:sz w:val="32"/>
          <w:szCs w:val="32"/>
          <w:highlight w:val="none"/>
        </w:rPr>
        <w:t>420791.82</w:t>
      </w:r>
      <w:r>
        <w:rPr>
          <w:rFonts w:hint="eastAsia" w:ascii="仿宋_GB2312" w:hAnsi="黑体" w:eastAsia="仿宋_GB2312"/>
          <w:color w:val="auto"/>
          <w:sz w:val="32"/>
          <w:szCs w:val="32"/>
          <w:highlight w:val="none"/>
        </w:rPr>
        <w:t>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2</w:t>
      </w:r>
      <w:r>
        <w:rPr>
          <w:rFonts w:hint="eastAsia" w:ascii="仿宋_GB2312" w:hAnsi="黑体" w:eastAsia="仿宋_GB2312"/>
          <w:color w:val="auto"/>
          <w:sz w:val="32"/>
          <w:szCs w:val="32"/>
          <w:highlight w:val="none"/>
        </w:rPr>
        <w:t>年预算支出</w:t>
      </w:r>
      <w:r>
        <w:rPr>
          <w:rFonts w:hint="eastAsia" w:ascii="仿宋_GB2312" w:hAnsi="宋体" w:eastAsia="仿宋_GB2312"/>
          <w:color w:val="auto"/>
          <w:sz w:val="32"/>
          <w:szCs w:val="32"/>
          <w:highlight w:val="none"/>
        </w:rPr>
        <w:t>420791.82</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lang w:val="en-US" w:eastAsia="zh-CN"/>
        </w:rPr>
        <w:t>四）</w:t>
      </w:r>
      <w:r>
        <w:rPr>
          <w:rFonts w:hint="eastAsia" w:ascii="楷体_GB2312" w:hAnsi="黑体" w:eastAsia="楷体_GB2312"/>
          <w:b/>
          <w:color w:val="auto"/>
          <w:sz w:val="32"/>
          <w:szCs w:val="32"/>
          <w:highlight w:val="none"/>
          <w:lang w:eastAsia="zh-CN"/>
        </w:rPr>
        <w:t>住房保障支出（</w:t>
      </w:r>
      <w:r>
        <w:rPr>
          <w:rFonts w:hint="eastAsia" w:ascii="楷体_GB2312" w:hAnsi="黑体" w:eastAsia="楷体_GB2312"/>
          <w:b/>
          <w:color w:val="auto"/>
          <w:sz w:val="32"/>
          <w:szCs w:val="32"/>
          <w:highlight w:val="none"/>
        </w:rPr>
        <w:t>类）</w:t>
      </w:r>
      <w:r>
        <w:rPr>
          <w:rFonts w:hint="eastAsia" w:ascii="仿宋_GB2312" w:hAnsi="黑体" w:eastAsia="仿宋_GB2312"/>
          <w:b/>
          <w:bCs/>
          <w:sz w:val="32"/>
          <w:szCs w:val="32"/>
          <w:highlight w:val="none"/>
          <w:lang w:eastAsia="zh-CN"/>
        </w:rPr>
        <w:t>住房改革支出</w:t>
      </w:r>
      <w:r>
        <w:rPr>
          <w:rFonts w:hint="eastAsia" w:ascii="楷体_GB2312" w:hAnsi="黑体" w:eastAsia="楷体_GB2312"/>
          <w:b/>
          <w:color w:val="auto"/>
          <w:sz w:val="32"/>
          <w:szCs w:val="32"/>
          <w:highlight w:val="none"/>
        </w:rPr>
        <w:t>（款）</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2</w:t>
      </w:r>
      <w:r>
        <w:rPr>
          <w:rFonts w:hint="eastAsia" w:ascii="仿宋_GB2312" w:hAnsi="黑体" w:eastAsia="仿宋_GB2312"/>
          <w:color w:val="auto"/>
          <w:sz w:val="32"/>
          <w:szCs w:val="32"/>
          <w:highlight w:val="none"/>
        </w:rPr>
        <w:t>年预算支出</w:t>
      </w:r>
      <w:r>
        <w:rPr>
          <w:rFonts w:hint="eastAsia" w:ascii="仿宋_GB2312" w:hAnsi="宋体" w:eastAsia="仿宋_GB2312"/>
          <w:color w:val="auto"/>
          <w:sz w:val="32"/>
          <w:szCs w:val="32"/>
          <w:highlight w:val="none"/>
          <w:lang w:eastAsia="zh-CN"/>
        </w:rPr>
        <w:t>759699.36</w:t>
      </w:r>
      <w:r>
        <w:rPr>
          <w:rFonts w:hint="eastAsia" w:ascii="仿宋_GB2312" w:hAnsi="黑体" w:eastAsia="仿宋_GB2312"/>
          <w:color w:val="auto"/>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宋体" w:eastAsia="仿宋_GB2312"/>
          <w:color w:val="auto"/>
          <w:sz w:val="32"/>
          <w:szCs w:val="32"/>
          <w:highlight w:val="none"/>
          <w:lang w:eastAsia="zh-CN"/>
        </w:rPr>
        <w:t>759699.36</w:t>
      </w:r>
      <w:r>
        <w:rPr>
          <w:rFonts w:hint="eastAsia" w:ascii="仿宋_GB2312" w:hAnsi="黑体" w:eastAsia="仿宋_GB2312"/>
          <w:color w:val="auto"/>
          <w:sz w:val="32"/>
          <w:szCs w:val="32"/>
          <w:highlight w:val="none"/>
        </w:rPr>
        <w:t>元。</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五</w:t>
      </w:r>
      <w:r>
        <w:rPr>
          <w:rFonts w:hint="eastAsia" w:ascii="仿宋_GB2312" w:hAnsi="黑体" w:eastAsia="仿宋_GB2312"/>
          <w:color w:val="auto"/>
          <w:sz w:val="32"/>
          <w:szCs w:val="32"/>
          <w:highlight w:val="none"/>
          <w:lang w:eastAsia="zh-CN"/>
        </w:rPr>
        <w:t>）</w:t>
      </w:r>
      <w:r>
        <w:rPr>
          <w:rFonts w:hint="eastAsia" w:ascii="仿宋_GB2312" w:hAnsi="黑体" w:eastAsia="仿宋_GB2312"/>
          <w:b/>
          <w:sz w:val="32"/>
          <w:szCs w:val="32"/>
          <w:highlight w:val="none"/>
        </w:rPr>
        <w:t>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8295084.00</w:t>
      </w:r>
      <w:r>
        <w:rPr>
          <w:rFonts w:hint="eastAsia" w:ascii="仿宋_GB2312" w:hAnsi="黑体" w:eastAsia="仿宋_GB2312"/>
          <w:sz w:val="32"/>
          <w:szCs w:val="32"/>
          <w:highlight w:val="none"/>
        </w:rPr>
        <w:t>元。其中：小学教育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（项）8285535.00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其他普通教育支出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2022年预算支出9549.00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三、部门一般公共预算基本支出情况说明</w:t>
      </w:r>
    </w:p>
    <w:p>
      <w:pPr>
        <w:ind w:firstLine="640" w:firstLineChars="200"/>
        <w:rPr>
          <w:rFonts w:hint="eastAsia" w:ascii="仿宋_GB2312" w:hAnsi="宋体" w:eastAsia="仿宋_GB2312"/>
          <w:i w:val="0"/>
          <w:iCs w:val="0"/>
          <w:sz w:val="32"/>
          <w:szCs w:val="32"/>
          <w:highlight w:val="none"/>
          <w:lang w:val="en-US" w:eastAsia="zh-CN"/>
        </w:rPr>
      </w:pPr>
      <w:r>
        <w:rPr>
          <w:rFonts w:hint="eastAsia" w:ascii="仿宋_GB2312" w:hAnsi="黑体" w:eastAsia="仿宋_GB2312"/>
          <w:i w:val="0"/>
          <w:iCs w:val="0"/>
          <w:sz w:val="32"/>
          <w:szCs w:val="32"/>
        </w:rPr>
        <w:t>2022年一般公共</w:t>
      </w:r>
      <w:r>
        <w:rPr>
          <w:rFonts w:hint="eastAsia" w:ascii="仿宋_GB2312" w:hAnsi="宋体" w:eastAsia="仿宋_GB2312"/>
          <w:i w:val="0"/>
          <w:iCs w:val="0"/>
          <w:sz w:val="32"/>
          <w:szCs w:val="32"/>
          <w:highlight w:val="none"/>
          <w:lang w:val="en-US" w:eastAsia="zh-CN"/>
        </w:rPr>
        <w:t>预算基本支出10618236.88元，其中：人员经费10618236.88元，单位运转经费0元，专项资金0元，比上年预算数减少0%。</w:t>
      </w:r>
    </w:p>
    <w:p>
      <w:pPr>
        <w:spacing w:line="640" w:lineRule="exact"/>
        <w:ind w:firstLine="640" w:firstLineChars="200"/>
        <w:rPr>
          <w:rFonts w:ascii="黑体" w:hAnsi="黑体" w:eastAsia="黑体"/>
          <w:i w:val="0"/>
          <w:iCs w:val="0"/>
          <w:sz w:val="32"/>
          <w:szCs w:val="32"/>
        </w:rPr>
      </w:pPr>
      <w:r>
        <w:rPr>
          <w:rFonts w:hint="eastAsia" w:ascii="黑体" w:hAnsi="黑体" w:eastAsia="黑体"/>
          <w:i w:val="0"/>
          <w:iCs w:val="0"/>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640" w:lineRule="exact"/>
        <w:ind w:firstLine="640" w:firstLineChars="200"/>
        <w:rPr>
          <w:rFonts w:ascii="仿宋_GB2312" w:hAnsi="黑体" w:eastAsia="仿宋_GB2312"/>
          <w:color w:val="auto"/>
          <w:sz w:val="32"/>
          <w:szCs w:val="32"/>
          <w:highlight w:val="none"/>
        </w:rPr>
      </w:pPr>
      <w:bookmarkStart w:id="0" w:name="_GoBack"/>
      <w:bookmarkEnd w:id="0"/>
    </w:p>
    <w:p>
      <w:pPr>
        <w:rPr>
          <w:rFonts w:ascii="仿宋_GB2312" w:hAnsi="黑体" w:eastAsia="仿宋_GB2312"/>
          <w:color w:val="auto"/>
          <w:sz w:val="32"/>
          <w:szCs w:val="32"/>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第四部分  名词解释</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（一）财政拨款收入：</w:t>
      </w:r>
      <w:r>
        <w:rPr>
          <w:rFonts w:ascii="仿宋_GB2312" w:hAnsi="黑体" w:eastAsia="仿宋_GB2312"/>
          <w:color w:val="auto"/>
          <w:sz w:val="32"/>
          <w:szCs w:val="32"/>
          <w:highlight w:val="none"/>
        </w:rPr>
        <w:t>指由</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财政拨款形成的部门收入。按照现行预算管理制度，</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（二）上年结转：</w:t>
      </w:r>
      <w:r>
        <w:rPr>
          <w:rFonts w:ascii="仿宋_GB2312" w:hAnsi="黑体" w:eastAsia="仿宋_GB2312"/>
          <w:color w:val="auto"/>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（三）基本支出：</w:t>
      </w:r>
      <w:r>
        <w:rPr>
          <w:rFonts w:ascii="仿宋_GB2312" w:hAnsi="黑体" w:eastAsia="仿宋_GB2312"/>
          <w:color w:val="auto"/>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（四）项目支出：</w:t>
      </w:r>
      <w:r>
        <w:rPr>
          <w:rFonts w:ascii="仿宋_GB2312" w:hAnsi="黑体" w:eastAsia="仿宋_GB2312"/>
          <w:color w:val="auto"/>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（五）三公经费：</w:t>
      </w:r>
      <w:r>
        <w:rPr>
          <w:rFonts w:ascii="仿宋_GB2312" w:hAnsi="黑体" w:eastAsia="仿宋_GB2312"/>
          <w:color w:val="auto"/>
          <w:sz w:val="32"/>
          <w:szCs w:val="32"/>
          <w:highlight w:val="none"/>
        </w:rPr>
        <w:t>是指</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部门用财政拨款安排的因公出国（境）费，公务接待费</w:t>
      </w:r>
      <w:r>
        <w:rPr>
          <w:rFonts w:hint="eastAsia" w:ascii="仿宋_GB2312" w:hAnsi="黑体" w:eastAsia="仿宋_GB2312"/>
          <w:color w:val="auto"/>
          <w:sz w:val="32"/>
          <w:szCs w:val="32"/>
          <w:highlight w:val="none"/>
        </w:rPr>
        <w:t>，</w:t>
      </w:r>
      <w:r>
        <w:rPr>
          <w:rFonts w:ascii="仿宋_GB2312" w:hAnsi="黑体" w:eastAsia="仿宋_GB2312"/>
          <w:color w:val="auto"/>
          <w:sz w:val="32"/>
          <w:szCs w:val="32"/>
          <w:highlight w:val="none"/>
        </w:rPr>
        <w:t>公务用车购置及运行费。</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（六）机关运行经费：</w:t>
      </w:r>
      <w:r>
        <w:rPr>
          <w:rFonts w:ascii="仿宋_GB2312" w:hAnsi="黑体" w:eastAsia="仿宋_GB2312"/>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color w:val="auto"/>
          <w:sz w:val="32"/>
          <w:szCs w:val="32"/>
          <w:highlight w:val="none"/>
        </w:rPr>
      </w:pPr>
    </w:p>
    <w:p>
      <w:pPr>
        <w:ind w:firstLine="643" w:firstLineChars="200"/>
        <w:jc w:val="center"/>
        <w:rPr>
          <w:rFonts w:ascii="仿宋_GB2312" w:hAnsi="黑体" w:eastAsia="仿宋_GB2312"/>
          <w:b/>
          <w:bCs/>
          <w:color w:val="auto"/>
          <w:sz w:val="32"/>
          <w:szCs w:val="32"/>
          <w:highlight w:val="none"/>
        </w:rPr>
      </w:pPr>
      <w:r>
        <w:rPr>
          <w:rFonts w:hint="eastAsia" w:ascii="仿宋_GB2312" w:hAnsi="黑体" w:eastAsia="仿宋_GB2312"/>
          <w:b/>
          <w:bCs/>
          <w:color w:val="auto"/>
          <w:sz w:val="32"/>
          <w:szCs w:val="32"/>
          <w:highlight w:val="none"/>
        </w:rPr>
        <w:t>填表说明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0FB05F74"/>
    <w:rsid w:val="112936A0"/>
    <w:rsid w:val="11F87B3E"/>
    <w:rsid w:val="1250416D"/>
    <w:rsid w:val="13B82E0D"/>
    <w:rsid w:val="141D039C"/>
    <w:rsid w:val="17432B85"/>
    <w:rsid w:val="18C9062F"/>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87F3E33"/>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5090</Words>
  <Characters>5474</Characters>
  <Lines>16</Lines>
  <Paragraphs>4</Paragraphs>
  <TotalTime>0</TotalTime>
  <ScaleCrop>false</ScaleCrop>
  <LinksUpToDate>false</LinksUpToDate>
  <CharactersWithSpaces>5529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2023-06-05T09:11:03Z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2E9716DF1FC9434096F586E55F268554_13</vt:lpwstr>
  </property>
</Properties>
</file>