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rPr>
        <w:t>民俗博物馆</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pStyle w:val="13"/>
        <w:tabs>
          <w:tab w:val="left" w:pos="822"/>
        </w:tabs>
        <w:spacing w:line="360" w:lineRule="auto"/>
        <w:ind w:left="640" w:firstLine="0"/>
        <w:rPr>
          <w:rFonts w:hint="eastAsia" w:ascii="仿宋_GB2312" w:hAnsi="仿宋_GB2312" w:eastAsia="PMingLiU" w:cs="仿宋_GB2312"/>
          <w:sz w:val="32"/>
          <w:szCs w:val="32"/>
          <w:highlight w:val="none"/>
        </w:rPr>
      </w:pPr>
      <w:r>
        <w:rPr>
          <w:rFonts w:hint="eastAsia" w:cs="仿宋_GB2312" w:asciiTheme="minorEastAsia" w:hAnsiTheme="minorEastAsia" w:eastAsiaTheme="minorEastAsia"/>
          <w:sz w:val="32"/>
          <w:szCs w:val="32"/>
          <w:highlight w:val="none"/>
        </w:rPr>
        <w:t>传承民俗文化，缔造传世瑰宝；民俗文化的保护和管理、征集、发掘、收获等工作。</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napToGrid w:val="0"/>
        <w:spacing w:line="520" w:lineRule="exact"/>
        <w:ind w:firstLine="632" w:firstLineChars="200"/>
        <w:textAlignment w:val="baseline"/>
        <w:rPr>
          <w:rFonts w:ascii="仿宋_GB2312" w:hAnsi="仿宋"/>
          <w:kern w:val="0"/>
          <w:sz w:val="32"/>
          <w:szCs w:val="32"/>
          <w:highlight w:val="none"/>
        </w:rPr>
      </w:pPr>
      <w:r>
        <w:rPr>
          <w:rFonts w:hint="eastAsia" w:ascii="仿宋" w:hAnsi="仿宋" w:eastAsia="仿宋" w:cs="仿宋"/>
          <w:spacing w:val="-2"/>
          <w:sz w:val="32"/>
          <w:szCs w:val="32"/>
          <w:highlight w:val="none"/>
        </w:rPr>
        <w:t>单位内设办公室、</w:t>
      </w:r>
      <w:r>
        <w:rPr>
          <w:rFonts w:hint="eastAsia" w:ascii="仿宋" w:hAnsi="仿宋" w:eastAsia="仿宋"/>
          <w:sz w:val="32"/>
          <w:szCs w:val="32"/>
          <w:highlight w:val="none"/>
        </w:rPr>
        <w:t>值班室、监控室、</w:t>
      </w:r>
      <w:r>
        <w:rPr>
          <w:rFonts w:hint="eastAsia" w:ascii="仿宋" w:hAnsi="仿宋" w:eastAsia="仿宋" w:cs="仿宋"/>
          <w:spacing w:val="-2"/>
          <w:sz w:val="32"/>
          <w:szCs w:val="32"/>
          <w:highlight w:val="none"/>
        </w:rPr>
        <w:t>财务室、保管部、安全保卫部。</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ascii="仿宋_GB2312" w:hAnsi="黑体" w:eastAsia="仿宋_GB2312"/>
          <w:sz w:val="32"/>
          <w:szCs w:val="32"/>
          <w:highlight w:val="none"/>
        </w:rPr>
        <w:t>2127280.52</w:t>
      </w:r>
      <w:r>
        <w:rPr>
          <w:rFonts w:hint="eastAsia" w:ascii="仿宋_GB2312" w:hAnsi="黑体" w:eastAsia="仿宋_GB2312"/>
          <w:sz w:val="32"/>
          <w:szCs w:val="32"/>
          <w:highlight w:val="none"/>
        </w:rPr>
        <w:t>元，比上年预算增加</w:t>
      </w:r>
      <w:r>
        <w:rPr>
          <w:rFonts w:ascii="仿宋_GB2312" w:hAnsi="黑体" w:eastAsia="仿宋_GB2312"/>
          <w:sz w:val="32"/>
          <w:szCs w:val="32"/>
          <w:highlight w:val="none"/>
        </w:rPr>
        <w:t>61912.52</w:t>
      </w:r>
      <w:r>
        <w:rPr>
          <w:rFonts w:hint="eastAsia" w:ascii="仿宋_GB2312" w:hAnsi="黑体" w:eastAsia="仿宋_GB2312"/>
          <w:sz w:val="32"/>
          <w:szCs w:val="32"/>
          <w:highlight w:val="none"/>
        </w:rPr>
        <w:t>元，其中：一般公共预算财政拨款收入</w:t>
      </w:r>
      <w:r>
        <w:rPr>
          <w:rFonts w:ascii="仿宋_GB2312" w:hAnsi="黑体" w:eastAsia="仿宋_GB2312"/>
          <w:sz w:val="32"/>
          <w:szCs w:val="32"/>
          <w:highlight w:val="none"/>
        </w:rPr>
        <w:t>2127280.52</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ascii="仿宋_GB2312" w:hAnsi="黑体" w:eastAsia="仿宋_GB2312"/>
          <w:sz w:val="32"/>
          <w:szCs w:val="32"/>
          <w:highlight w:val="none"/>
        </w:rPr>
        <w:t>0</w:t>
      </w:r>
      <w:r>
        <w:rPr>
          <w:rFonts w:hint="eastAsia" w:ascii="仿宋_GB2312" w:hAnsi="宋体" w:eastAsia="仿宋_GB2312"/>
          <w:sz w:val="32"/>
          <w:szCs w:val="32"/>
          <w:highlight w:val="none"/>
        </w:rPr>
        <w:t>元。预算支出</w:t>
      </w:r>
      <w:r>
        <w:rPr>
          <w:rFonts w:ascii="仿宋_GB2312" w:hAnsi="黑体" w:eastAsia="仿宋_GB2312"/>
          <w:sz w:val="32"/>
          <w:szCs w:val="32"/>
          <w:highlight w:val="none"/>
        </w:rPr>
        <w:t>2127280.52</w:t>
      </w:r>
      <w:r>
        <w:rPr>
          <w:rFonts w:hint="eastAsia" w:ascii="仿宋_GB2312" w:hAnsi="宋体" w:eastAsia="仿宋_GB2312"/>
          <w:sz w:val="32"/>
          <w:szCs w:val="32"/>
          <w:highlight w:val="none"/>
        </w:rPr>
        <w:t>元，相应比上年预算数增加4</w:t>
      </w:r>
      <w:r>
        <w:rPr>
          <w:rFonts w:ascii="仿宋_GB2312" w:hAnsi="宋体" w:eastAsia="仿宋_GB2312"/>
          <w:sz w:val="32"/>
          <w:szCs w:val="32"/>
          <w:highlight w:val="none"/>
        </w:rPr>
        <w:t>5</w:t>
      </w:r>
      <w:r>
        <w:rPr>
          <w:rFonts w:hint="eastAsia" w:ascii="仿宋_GB2312" w:hAnsi="宋体" w:eastAsia="仿宋_GB2312"/>
          <w:sz w:val="32"/>
          <w:szCs w:val="32"/>
          <w:highlight w:val="none"/>
        </w:rPr>
        <w:t>%。增加的主要原因是：</w:t>
      </w:r>
      <w:r>
        <w:rPr>
          <w:rFonts w:hint="eastAsia" w:ascii="仿宋_GB2312" w:hAnsi="黑体" w:eastAsia="仿宋_GB2312"/>
          <w:sz w:val="32"/>
          <w:szCs w:val="32"/>
          <w:highlight w:val="none"/>
        </w:rPr>
        <w:t>工资增加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ascii="仿宋_GB2312" w:hAnsi="黑体" w:eastAsia="仿宋_GB2312"/>
          <w:sz w:val="32"/>
          <w:szCs w:val="32"/>
          <w:highlight w:val="none"/>
        </w:rPr>
        <w:t>15830</w:t>
      </w:r>
      <w:r>
        <w:rPr>
          <w:rFonts w:hint="eastAsia" w:ascii="仿宋_GB2312" w:hAnsi="宋体" w:eastAsia="仿宋_GB2312"/>
          <w:sz w:val="32"/>
          <w:szCs w:val="32"/>
          <w:highlight w:val="none"/>
        </w:rPr>
        <w:t>元，其中：财政拨款</w:t>
      </w:r>
      <w:r>
        <w:rPr>
          <w:rFonts w:ascii="仿宋_GB2312" w:hAnsi="黑体" w:eastAsia="仿宋_GB2312"/>
          <w:sz w:val="32"/>
          <w:szCs w:val="32"/>
          <w:highlight w:val="none"/>
        </w:rPr>
        <w:t>15830</w:t>
      </w:r>
      <w:r>
        <w:rPr>
          <w:rFonts w:hint="eastAsia" w:ascii="仿宋_GB2312" w:hAnsi="宋体" w:eastAsia="仿宋_GB2312"/>
          <w:sz w:val="32"/>
          <w:szCs w:val="32"/>
          <w:highlight w:val="none"/>
        </w:rPr>
        <w:t>元，比上年预算数增加</w:t>
      </w:r>
      <w:r>
        <w:rPr>
          <w:rFonts w:ascii="仿宋_GB2312" w:hAnsi="黑体" w:eastAsia="仿宋_GB2312"/>
          <w:sz w:val="32"/>
          <w:szCs w:val="32"/>
          <w:highlight w:val="none"/>
        </w:rPr>
        <w:t>15</w:t>
      </w:r>
      <w:bookmarkStart w:id="0" w:name="_Hlk136770880"/>
      <w:r>
        <w:rPr>
          <w:rFonts w:hint="eastAsia" w:ascii="仿宋_GB2312" w:hAnsi="宋体" w:eastAsia="仿宋_GB2312"/>
          <w:sz w:val="32"/>
          <w:szCs w:val="32"/>
          <w:highlight w:val="none"/>
        </w:rPr>
        <w:t>%</w:t>
      </w:r>
      <w:bookmarkEnd w:id="0"/>
      <w:r>
        <w:rPr>
          <w:rFonts w:hint="eastAsia" w:ascii="仿宋_GB2312" w:hAnsi="宋体" w:eastAsia="仿宋_GB2312"/>
          <w:sz w:val="32"/>
          <w:szCs w:val="32"/>
          <w:highlight w:val="none"/>
          <w:lang w:eastAsia="zh-CN"/>
        </w:rPr>
        <w:t>，工会经费增加</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ascii="仿宋_GB2312" w:hAnsi="黑体" w:eastAsia="仿宋_GB2312"/>
          <w:sz w:val="32"/>
          <w:szCs w:val="32"/>
          <w:highlight w:val="none"/>
        </w:rPr>
        <w:t>197179.92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比上年预算数增加</w:t>
      </w:r>
      <w:r>
        <w:rPr>
          <w:rFonts w:hint="eastAsia" w:ascii="仿宋_GB2312" w:hAnsi="黑体" w:eastAsia="仿宋_GB2312"/>
          <w:sz w:val="32"/>
          <w:szCs w:val="32"/>
          <w:highlight w:val="none"/>
          <w:lang w:val="en-US" w:eastAsia="zh-CN"/>
        </w:rPr>
        <w:t>20.33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，人员工资增加</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文化旅游体育与传媒支出</w:t>
      </w:r>
      <w:bookmarkStart w:id="1" w:name="_Hlk136770056"/>
      <w:r>
        <w:rPr>
          <w:rFonts w:ascii="仿宋_GB2312" w:hAnsi="黑体" w:eastAsia="仿宋_GB2312"/>
          <w:sz w:val="32"/>
          <w:szCs w:val="32"/>
          <w:highlight w:val="none"/>
        </w:rPr>
        <w:t>1687260</w:t>
      </w:r>
      <w:bookmarkEnd w:id="1"/>
      <w:r>
        <w:rPr>
          <w:rFonts w:ascii="仿宋_GB2312" w:hAnsi="黑体" w:eastAsia="仿宋_GB2312"/>
          <w:sz w:val="32"/>
          <w:szCs w:val="32"/>
          <w:highlight w:val="none"/>
        </w:rPr>
        <w:t>.00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比上年预算数增加</w:t>
      </w:r>
      <w:r>
        <w:rPr>
          <w:rFonts w:hint="eastAsia" w:ascii="仿宋_GB2312" w:hAnsi="黑体" w:eastAsia="仿宋_GB2312"/>
          <w:sz w:val="32"/>
          <w:szCs w:val="32"/>
          <w:highlight w:val="none"/>
          <w:lang w:val="en-US" w:eastAsia="zh-CN"/>
        </w:rPr>
        <w:t>31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，专项资金增加。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卫生健康支出80951.40</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，上年未列入单位预算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ascii="仿宋_GB2312" w:hAnsi="黑体" w:eastAsia="仿宋_GB2312"/>
          <w:sz w:val="32"/>
          <w:szCs w:val="32"/>
          <w:highlight w:val="none"/>
        </w:rPr>
        <w:t>2047280.52</w:t>
      </w:r>
      <w:r>
        <w:rPr>
          <w:rFonts w:hint="eastAsia" w:ascii="仿宋_GB2312" w:hAnsi="宋体" w:eastAsia="仿宋_GB2312"/>
          <w:sz w:val="32"/>
          <w:szCs w:val="32"/>
          <w:highlight w:val="none"/>
        </w:rPr>
        <w:t>元，商品和服务</w:t>
      </w:r>
      <w:r>
        <w:rPr>
          <w:rFonts w:ascii="仿宋_GB2312" w:hAnsi="黑体" w:eastAsia="仿宋_GB2312"/>
          <w:sz w:val="32"/>
          <w:szCs w:val="32"/>
          <w:highlight w:val="none"/>
        </w:rPr>
        <w:t>80000</w:t>
      </w:r>
      <w:r>
        <w:rPr>
          <w:rFonts w:hint="eastAsia" w:ascii="仿宋_GB2312" w:hAnsi="宋体" w:eastAsia="仿宋_GB2312"/>
          <w:sz w:val="32"/>
          <w:szCs w:val="32"/>
          <w:highlight w:val="none"/>
        </w:rPr>
        <w:t>元，对个人和家庭的补助</w:t>
      </w:r>
      <w:r>
        <w:rPr>
          <w:rFonts w:ascii="仿宋_GB2312" w:hAnsi="黑体" w:eastAsia="仿宋_GB2312"/>
          <w:sz w:val="32"/>
          <w:szCs w:val="32"/>
          <w:highlight w:val="none"/>
        </w:rPr>
        <w:t>0</w:t>
      </w:r>
      <w:r>
        <w:rPr>
          <w:rFonts w:hint="eastAsia" w:ascii="仿宋_GB2312" w:hAnsi="宋体" w:eastAsia="仿宋_GB2312"/>
          <w:sz w:val="32"/>
          <w:szCs w:val="32"/>
          <w:highlight w:val="none"/>
        </w:rPr>
        <w:t>元，基本建设支出</w:t>
      </w:r>
      <w:r>
        <w:rPr>
          <w:rFonts w:ascii="仿宋_GB2312" w:hAnsi="黑体" w:eastAsia="仿宋_GB2312"/>
          <w:sz w:val="32"/>
          <w:szCs w:val="32"/>
          <w:highlight w:val="none"/>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（一）一般公共服务支出（类）群众团体事务（款）</w:t>
      </w:r>
      <w:r>
        <w:rPr>
          <w:rFonts w:hint="eastAsia" w:ascii="仿宋_GB2312" w:hAnsi="黑体" w:eastAsia="仿宋_GB2312"/>
          <w:sz w:val="32"/>
          <w:szCs w:val="32"/>
          <w:highlight w:val="none"/>
        </w:rPr>
        <w:t>2022年预算支出15830.00元，比上年预算数</w:t>
      </w:r>
      <w:r>
        <w:rPr>
          <w:rFonts w:hint="eastAsia" w:ascii="仿宋_GB2312" w:hAnsi="宋体" w:eastAsia="仿宋_GB2312"/>
          <w:sz w:val="32"/>
          <w:szCs w:val="32"/>
          <w:highlight w:val="none"/>
          <w:lang w:val="en-US" w:eastAsia="zh-CN"/>
        </w:rPr>
        <w:t>增加15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，增加的主要原因是：工会经费增加</w:t>
      </w:r>
      <w:r>
        <w:rPr>
          <w:rFonts w:hint="eastAsia" w:ascii="仿宋_GB2312" w:hAnsi="黑体" w:eastAsia="仿宋_GB2312"/>
          <w:sz w:val="32"/>
          <w:szCs w:val="32"/>
          <w:highlight w:val="none"/>
        </w:rPr>
        <w:t>。其中：工会事务（项）2022年预算支出15830.00元，比上年预算数</w:t>
      </w:r>
      <w:r>
        <w:rPr>
          <w:rFonts w:hint="eastAsia" w:ascii="仿宋_GB2312" w:hAnsi="宋体" w:eastAsia="仿宋_GB2312"/>
          <w:sz w:val="32"/>
          <w:szCs w:val="32"/>
          <w:highlight w:val="none"/>
          <w:lang w:val="en-US" w:eastAsia="zh-CN"/>
        </w:rPr>
        <w:t>增加15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，增加的主要原因是：工会经费增加</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二</w:t>
      </w:r>
      <w:r>
        <w:rPr>
          <w:rFonts w:hint="eastAsia" w:ascii="楷体_GB2312" w:hAnsi="黑体" w:eastAsia="楷体_GB2312"/>
          <w:b/>
          <w:sz w:val="32"/>
          <w:szCs w:val="32"/>
          <w:highlight w:val="none"/>
        </w:rPr>
        <w:t>）文化旅游体育与传媒支出（类）文化和旅游（款）</w:t>
      </w:r>
      <w:r>
        <w:rPr>
          <w:rFonts w:hint="eastAsia" w:ascii="仿宋_GB2312" w:hAnsi="黑体" w:eastAsia="仿宋_GB2312"/>
          <w:sz w:val="32"/>
          <w:szCs w:val="32"/>
          <w:highlight w:val="none"/>
        </w:rPr>
        <w:t>2022年预算支出1687260.00元，比上年预算数</w:t>
      </w:r>
      <w:r>
        <w:rPr>
          <w:rFonts w:hint="eastAsia" w:ascii="仿宋_GB2312" w:hAnsi="宋体" w:eastAsia="仿宋_GB2312"/>
          <w:sz w:val="32"/>
          <w:szCs w:val="32"/>
          <w:highlight w:val="none"/>
          <w:lang w:val="en-US" w:eastAsia="zh-CN"/>
        </w:rPr>
        <w:t>增加31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，增加的主要原因是：项目支出、公用经费增加</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行政运行</w:t>
      </w:r>
      <w:r>
        <w:rPr>
          <w:rFonts w:hint="eastAsia" w:ascii="仿宋_GB2312" w:hAnsi="黑体" w:eastAsia="仿宋_GB2312"/>
          <w:sz w:val="32"/>
          <w:szCs w:val="32"/>
          <w:highlight w:val="none"/>
        </w:rPr>
        <w:t>（项）2022年预算支出1687260.00元，比上年预算数</w:t>
      </w:r>
      <w:r>
        <w:rPr>
          <w:rFonts w:hint="eastAsia" w:ascii="仿宋_GB2312" w:hAnsi="宋体" w:eastAsia="仿宋_GB2312"/>
          <w:sz w:val="32"/>
          <w:szCs w:val="32"/>
          <w:highlight w:val="none"/>
          <w:lang w:val="en-US" w:eastAsia="zh-CN"/>
        </w:rPr>
        <w:t>增加31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，增加的主要原因是：项目支出、公用经费增加</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）行政事业单位养老支出（款）2022年预算支出194745.60元，比上年预算数</w:t>
      </w:r>
      <w:r>
        <w:rPr>
          <w:rFonts w:hint="eastAsia" w:ascii="仿宋_GB2312" w:hAnsi="宋体" w:eastAsia="仿宋_GB2312"/>
          <w:sz w:val="32"/>
          <w:szCs w:val="32"/>
          <w:highlight w:val="none"/>
          <w:lang w:val="en-US" w:eastAsia="zh-CN"/>
        </w:rPr>
        <w:t>增加18.84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，增加的主要原因是：人员工资增加</w:t>
      </w:r>
      <w:r>
        <w:rPr>
          <w:rFonts w:hint="eastAsia" w:ascii="仿宋_GB2312" w:hAnsi="黑体" w:eastAsia="仿宋_GB2312"/>
          <w:sz w:val="32"/>
          <w:szCs w:val="32"/>
          <w:highlight w:val="none"/>
        </w:rPr>
        <w:t>。其中：机关事业单位基本养老保险缴费支出（项）2022年预算支出194745.60元，比上年预算数</w:t>
      </w:r>
      <w:r>
        <w:rPr>
          <w:rFonts w:hint="eastAsia" w:ascii="仿宋_GB2312" w:hAnsi="宋体" w:eastAsia="仿宋_GB2312"/>
          <w:sz w:val="32"/>
          <w:szCs w:val="32"/>
          <w:highlight w:val="none"/>
          <w:lang w:val="en-US" w:eastAsia="zh-CN"/>
        </w:rPr>
        <w:t>增加18.847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，增加的主要原因是：人员工资增加</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）财政对其他社会保险基金的补</w:t>
      </w:r>
      <w:r>
        <w:rPr>
          <w:rFonts w:hint="eastAsia" w:ascii="仿宋_GB2312" w:hAnsi="黑体" w:eastAsia="仿宋_GB2312"/>
          <w:sz w:val="32"/>
          <w:szCs w:val="32"/>
          <w:highlight w:val="none"/>
          <w:lang w:val="en-US" w:eastAsia="zh-CN"/>
        </w:rPr>
        <w:t>助</w:t>
      </w:r>
      <w:r>
        <w:rPr>
          <w:rFonts w:hint="eastAsia" w:ascii="仿宋_GB2312" w:hAnsi="黑体" w:eastAsia="仿宋_GB2312"/>
          <w:sz w:val="32"/>
          <w:szCs w:val="32"/>
          <w:highlight w:val="none"/>
        </w:rPr>
        <w:t>（款）2022年预算支出2434.32元，比上年预算数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工伤保险列入单位预算</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其中：财政对工伤保险基金的补助（项）2022年预算支出2434.32元，比上年预算数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工伤保险列入单位预算</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）财政对基本医疗保险基金的补助（款）2022年预算支出</w:t>
      </w:r>
      <w:r>
        <w:rPr>
          <w:rFonts w:hint="eastAsia" w:ascii="仿宋_GB2312" w:hAnsi="宋体" w:eastAsia="仿宋_GB2312"/>
          <w:sz w:val="32"/>
          <w:szCs w:val="32"/>
          <w:highlight w:val="none"/>
          <w:lang w:val="en-US" w:eastAsia="zh-CN"/>
        </w:rPr>
        <w:t>增加80951.40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医疗保险列入单位预算</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其中：财政对职工基本医疗保险基金的补助（项）2022年预算支出80951.40元，比上年预算数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医疗保险列入单位预算</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宋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六</w:t>
      </w:r>
      <w:r>
        <w:rPr>
          <w:rFonts w:hint="eastAsia" w:ascii="仿宋_GB2312" w:hAnsi="黑体" w:eastAsia="仿宋_GB2312"/>
          <w:b/>
          <w:sz w:val="32"/>
          <w:szCs w:val="32"/>
          <w:highlight w:val="none"/>
        </w:rPr>
        <w:t>）住房保障支出（类</w:t>
      </w:r>
      <w:r>
        <w:rPr>
          <w:rFonts w:hint="eastAsia" w:ascii="仿宋_GB2312" w:hAnsi="黑体" w:eastAsia="仿宋_GB2312"/>
          <w:sz w:val="32"/>
          <w:szCs w:val="32"/>
          <w:highlight w:val="none"/>
        </w:rPr>
        <w:t>）住房改革支出（款）2022年预算支出146059.20元，比上年预算数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住房公积金列入单位预算</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其中：住房公积金（项）2022年预算支出146059.20元，比上年预算数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，增加的主要原因是：</w:t>
      </w:r>
      <w:r>
        <w:rPr>
          <w:rFonts w:hint="eastAsia" w:ascii="仿宋" w:hAnsi="仿宋" w:eastAsia="仿宋" w:cs="仿宋"/>
          <w:b w:val="0"/>
          <w:bCs/>
          <w:sz w:val="32"/>
          <w:szCs w:val="32"/>
          <w:highlight w:val="none"/>
          <w:lang w:eastAsia="zh-CN"/>
        </w:rPr>
        <w:t>住房公积金列入单位预算</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增加4</w:t>
      </w:r>
      <w:r>
        <w:rPr>
          <w:rFonts w:ascii="仿宋_GB2312" w:hAnsi="宋体" w:eastAsia="仿宋_GB2312"/>
          <w:sz w:val="32"/>
          <w:szCs w:val="32"/>
          <w:highlight w:val="none"/>
        </w:rPr>
        <w:t>5</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元，其中：人员经费</w:t>
      </w:r>
      <w:r>
        <w:rPr>
          <w:rFonts w:ascii="仿宋_GB2312" w:hAnsi="黑体" w:eastAsia="仿宋_GB2312"/>
          <w:sz w:val="32"/>
          <w:szCs w:val="32"/>
          <w:highlight w:val="none"/>
        </w:rPr>
        <w:t>2047280.52</w:t>
      </w:r>
      <w:r>
        <w:rPr>
          <w:rFonts w:hint="eastAsia" w:ascii="仿宋_GB2312" w:hAnsi="黑体" w:eastAsia="仿宋_GB2312"/>
          <w:sz w:val="32"/>
          <w:szCs w:val="32"/>
          <w:highlight w:val="none"/>
        </w:rPr>
        <w:t>元，单位运转经费</w:t>
      </w:r>
      <w:r>
        <w:rPr>
          <w:rFonts w:ascii="仿宋_GB2312" w:hAnsi="黑体" w:eastAsia="仿宋_GB2312"/>
          <w:sz w:val="32"/>
          <w:szCs w:val="32"/>
          <w:highlight w:val="none"/>
        </w:rPr>
        <w:t>8000</w:t>
      </w:r>
      <w:r>
        <w:rPr>
          <w:rFonts w:hint="eastAsia" w:ascii="仿宋_GB2312" w:hAnsi="黑体" w:eastAsia="仿宋_GB2312"/>
          <w:sz w:val="32"/>
          <w:szCs w:val="32"/>
          <w:highlight w:val="none"/>
        </w:rPr>
        <w:t>元，专项资金</w:t>
      </w:r>
      <w:r>
        <w:rPr>
          <w:rFonts w:ascii="仿宋_GB2312" w:hAnsi="黑体" w:eastAsia="仿宋_GB2312"/>
          <w:sz w:val="32"/>
          <w:szCs w:val="32"/>
          <w:highlight w:val="none"/>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增加4</w:t>
      </w:r>
      <w:r>
        <w:rPr>
          <w:rFonts w:ascii="仿宋_GB2312" w:hAnsi="宋体" w:eastAsia="仿宋_GB2312"/>
          <w:sz w:val="32"/>
          <w:szCs w:val="32"/>
          <w:highlight w:val="none"/>
        </w:rPr>
        <w:t>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eastAsia="zh-CN"/>
        </w:rPr>
        <w:t>增加的主要原因是：人员工资增加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ascii="仿宋_GB2312" w:hAnsi="黑体" w:eastAsia="仿宋_GB2312"/>
          <w:sz w:val="32"/>
          <w:szCs w:val="32"/>
          <w:highlight w:val="none"/>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ascii="仿宋_GB2312" w:hAnsi="黑体" w:eastAsia="仿宋_GB2312"/>
          <w:sz w:val="32"/>
          <w:szCs w:val="32"/>
          <w:highlight w:val="none"/>
        </w:rPr>
        <w:t>80000</w:t>
      </w:r>
      <w:r>
        <w:rPr>
          <w:rFonts w:hint="eastAsia" w:ascii="仿宋_GB2312" w:hAnsi="黑体" w:eastAsia="仿宋_GB2312"/>
          <w:sz w:val="32"/>
          <w:szCs w:val="32"/>
          <w:highlight w:val="none"/>
        </w:rPr>
        <w:t>元，比上年预算数无变化。政府采购预算</w:t>
      </w:r>
      <w:r>
        <w:rPr>
          <w:rFonts w:ascii="仿宋_GB2312" w:hAnsi="黑体" w:eastAsia="仿宋_GB2312"/>
          <w:sz w:val="32"/>
          <w:szCs w:val="32"/>
          <w:highlight w:val="none"/>
        </w:rPr>
        <w:t>5000</w:t>
      </w:r>
      <w:r>
        <w:rPr>
          <w:rFonts w:hint="eastAsia" w:ascii="仿宋_GB2312" w:hAnsi="黑体" w:eastAsia="仿宋_GB2312"/>
          <w:sz w:val="32"/>
          <w:szCs w:val="32"/>
          <w:highlight w:val="none"/>
        </w:rPr>
        <w:t>元，比上年预算数减少1</w:t>
      </w:r>
      <w:r>
        <w:rPr>
          <w:rFonts w:ascii="仿宋_GB2312" w:hAnsi="黑体" w:eastAsia="仿宋_GB2312"/>
          <w:sz w:val="32"/>
          <w:szCs w:val="32"/>
          <w:highlight w:val="none"/>
        </w:rPr>
        <w:t>5000</w:t>
      </w:r>
      <w:r>
        <w:rPr>
          <w:rFonts w:hint="eastAsia" w:ascii="仿宋_GB2312" w:hAnsi="黑体" w:eastAsia="仿宋_GB2312"/>
          <w:sz w:val="32"/>
          <w:szCs w:val="32"/>
          <w:highlight w:val="none"/>
        </w:rPr>
        <w:t>元，减少</w:t>
      </w:r>
      <w:r>
        <w:rPr>
          <w:rFonts w:ascii="仿宋_GB2312" w:hAnsi="黑体" w:eastAsia="仿宋_GB2312"/>
          <w:sz w:val="32"/>
          <w:szCs w:val="32"/>
          <w:highlight w:val="none"/>
        </w:rPr>
        <w:t>75</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rPr>
        <w:t>无采购设备</w:t>
      </w:r>
      <w:r>
        <w:rPr>
          <w:rFonts w:hint="eastAsia" w:ascii="仿宋_GB2312" w:hAnsi="黑体" w:eastAsia="仿宋_GB2312"/>
          <w:sz w:val="32"/>
          <w:szCs w:val="32"/>
          <w:highlight w:val="none"/>
        </w:rPr>
        <w:t>，其中：政府采购货物预算</w:t>
      </w:r>
      <w:r>
        <w:rPr>
          <w:rFonts w:ascii="仿宋_GB2312" w:hAnsi="黑体" w:eastAsia="仿宋_GB2312"/>
          <w:sz w:val="32"/>
          <w:szCs w:val="32"/>
          <w:highlight w:val="none"/>
        </w:rPr>
        <w:t>5000</w:t>
      </w:r>
      <w:r>
        <w:rPr>
          <w:rFonts w:hint="eastAsia" w:ascii="仿宋_GB2312" w:hAnsi="黑体" w:eastAsia="仿宋_GB2312"/>
          <w:sz w:val="32"/>
          <w:szCs w:val="32"/>
          <w:highlight w:val="none"/>
        </w:rPr>
        <w:t>元，政府采购工程预算</w:t>
      </w:r>
      <w:r>
        <w:rPr>
          <w:rFonts w:ascii="仿宋_GB2312" w:hAnsi="黑体" w:eastAsia="仿宋_GB2312"/>
          <w:sz w:val="32"/>
          <w:szCs w:val="32"/>
          <w:highlight w:val="none"/>
        </w:rPr>
        <w:t>0</w:t>
      </w:r>
      <w:r>
        <w:rPr>
          <w:rFonts w:hint="eastAsia" w:ascii="仿宋_GB2312" w:hAnsi="黑体" w:eastAsia="仿宋_GB2312"/>
          <w:sz w:val="32"/>
          <w:szCs w:val="32"/>
          <w:highlight w:val="none"/>
        </w:rPr>
        <w:t>元，政府采购服务预算</w:t>
      </w:r>
      <w:r>
        <w:rPr>
          <w:rFonts w:ascii="仿宋_GB2312" w:hAnsi="黑体" w:eastAsia="仿宋_GB2312"/>
          <w:sz w:val="32"/>
          <w:szCs w:val="32"/>
          <w:highlight w:val="none"/>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bookmarkStart w:id="2" w:name="_GoBack"/>
      <w:bookmarkEnd w:id="2"/>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5ZmQyODRiYmUyMWI4Y2Q1ZTRhYThiOTM0MTZjMDUifQ=="/>
  </w:docVars>
  <w:rsids>
    <w:rsidRoot w:val="005B7BC1"/>
    <w:rsid w:val="00004755"/>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86A6A"/>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C446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A5E80"/>
    <w:rsid w:val="00BD2423"/>
    <w:rsid w:val="00C469FC"/>
    <w:rsid w:val="00CA41AB"/>
    <w:rsid w:val="00CB5559"/>
    <w:rsid w:val="00CC2B7C"/>
    <w:rsid w:val="00CF06A6"/>
    <w:rsid w:val="00DE66F0"/>
    <w:rsid w:val="00E0384C"/>
    <w:rsid w:val="00E075CD"/>
    <w:rsid w:val="00E16350"/>
    <w:rsid w:val="00E265F4"/>
    <w:rsid w:val="00E46B0B"/>
    <w:rsid w:val="00E760B0"/>
    <w:rsid w:val="00E920D8"/>
    <w:rsid w:val="00E94B79"/>
    <w:rsid w:val="00EA085C"/>
    <w:rsid w:val="00F00669"/>
    <w:rsid w:val="00F3279B"/>
    <w:rsid w:val="00F42002"/>
    <w:rsid w:val="00F67610"/>
    <w:rsid w:val="00F9776C"/>
    <w:rsid w:val="00FD6217"/>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 w:val="7FD8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字符"/>
    <w:link w:val="4"/>
    <w:qFormat/>
    <w:uiPriority w:val="0"/>
    <w:rPr>
      <w:kern w:val="2"/>
      <w:sz w:val="18"/>
      <w:szCs w:val="18"/>
    </w:rPr>
  </w:style>
  <w:style w:type="character" w:customStyle="1" w:styleId="11">
    <w:name w:val="页脚 字符"/>
    <w:link w:val="3"/>
    <w:qFormat/>
    <w:uiPriority w:val="0"/>
    <w:rPr>
      <w:kern w:val="2"/>
      <w:sz w:val="18"/>
      <w:szCs w:val="18"/>
    </w:rPr>
  </w:style>
  <w:style w:type="character" w:customStyle="1" w:styleId="12">
    <w:name w:val="Body text|1_"/>
    <w:basedOn w:val="8"/>
    <w:link w:val="13"/>
    <w:qFormat/>
    <w:locked/>
    <w:uiPriority w:val="0"/>
    <w:rPr>
      <w:rFonts w:ascii="宋体" w:hAnsi="宋体" w:cs="宋体"/>
      <w:sz w:val="30"/>
      <w:szCs w:val="30"/>
      <w:lang w:val="zh-TW" w:eastAsia="zh-TW" w:bidi="zh-TW"/>
    </w:rPr>
  </w:style>
  <w:style w:type="paragraph" w:customStyle="1" w:styleId="13">
    <w:name w:val="Body text|1"/>
    <w:basedOn w:val="1"/>
    <w:link w:val="12"/>
    <w:qFormat/>
    <w:uiPriority w:val="0"/>
    <w:pPr>
      <w:spacing w:line="436"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1867</Words>
  <Characters>2100</Characters>
  <Lines>15</Lines>
  <Paragraphs>4</Paragraphs>
  <TotalTime>0</TotalTime>
  <ScaleCrop>false</ScaleCrop>
  <LinksUpToDate>false</LinksUpToDate>
  <CharactersWithSpaces>2151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2023-06-04T03:46:00Z</dcterms:created>
  <dc:creator>Windows 用户</dc:creator>
  <cp:lastModifiedBy>Administrator</cp:lastModifiedBy>
  <cp:lastPrinted>2022-04-13T10:13:00Z</cp:lastPrinted>
  <dcterms:modified xsi:type="dcterms:W3CDTF">2023-06-08T02:40:39Z</dcterms:modified>
  <dc:title>临夏回族自治州**局部门预算（此处请用单位全称，居中）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