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cs="Times New Roman"/>
          <w:sz w:val="72"/>
          <w:szCs w:val="72"/>
          <w:lang w:eastAsia="zh-CN"/>
        </w:rPr>
        <w:t>东乡族自治县疾病预防控制中心</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pStyle w:val="2"/>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pStyle w:val="2"/>
        <w:rPr>
          <w:rFonts w:hint="eastAsia" w:ascii="方正小标宋简体" w:eastAsia="方正小标宋简体"/>
          <w:sz w:val="48"/>
          <w:szCs w:val="48"/>
        </w:rPr>
      </w:pPr>
    </w:p>
    <w:p>
      <w:pPr>
        <w:rPr>
          <w:rFonts w:hint="eastAsia" w:ascii="方正小标宋简体" w:eastAsia="方正小标宋简体"/>
          <w:sz w:val="48"/>
          <w:szCs w:val="48"/>
        </w:rPr>
      </w:pPr>
    </w:p>
    <w:p>
      <w:pPr>
        <w:pStyle w:val="2"/>
      </w:pPr>
    </w:p>
    <w:p>
      <w:pPr>
        <w:jc w:val="center"/>
        <w:rPr>
          <w:rFonts w:ascii="仿宋_GB2312" w:hAnsi="黑体" w:eastAsia="仿宋_GB2312"/>
          <w:sz w:val="32"/>
          <w:szCs w:val="32"/>
        </w:rPr>
      </w:pPr>
      <w:r>
        <w:rPr>
          <w:rFonts w:hint="eastAsia" w:ascii="黑体" w:hAnsi="黑体" w:eastAsia="黑体"/>
          <w:sz w:val="48"/>
          <w:szCs w:val="48"/>
        </w:rPr>
        <w:t>目    录</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1、拟定和指导实施全县急慢性传染病、慢性非传染性疾病、职业病、地方病等疾病的预防控制规划、计划、实施方案、工作规范、标准、防制对策与技术措施。并对实施情况进行质量控制和效果评估。</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2、建立突发公共卫生事件应急处理运行机制，指导和参与调查处理全县发生的重大传染病疫情、新发传染病、群体性不明原因疾病等突发公共卫生事件。</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3、开展对影响人群生存环境卫生质量及生命质量的危险因素和食品、职业、环境、放射、学校卫生等卫生学监测、评价，组织开展健康危害因素干预。</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4、对全县急慢性传染病、地方病、寄生虫病、慢性非传染性疾病、职业病、公害病、学生常见病及意外伤害等发生、分布和发展的规律进行流行病学监测、分析和预测、预报。</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5、组织开展全县免疫和规划免疫预防接种工作，负责免疫预防的技术指导、效果监测与评价，预防用生物制品的计划、订购、供应及冷链系统的监测与使用管理。</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6、拟定健康教育工作规划、计划与实施方案，开展健康教育和健康促进工作。</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7、拟定全县消毒杀虫工作规划、计划和技术措施，组织开展病原媒介生物和消毒杀虫工作效果监测与评价。</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8、负责全县传染病疫情等突发公共卫生事件及有关公共卫生信息的收集、分析、报告、管理工作。</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9、承担卫生监测检验、预防性健康检查、健康相关产品的卫生质量检验、鉴定工作。</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10、负责对新建、改建、扩建建设项目的选址、设计和竣工验收的卫生学评价工作。</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11、指导和参与社区卫生服务、初级卫生保健和改水改厕工作。</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12、向社会提供相关的预防保健信息、健康咨询和预防医学诊疗等专业技术服务。</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　　13、负责全县疾病预防控制业务人员的技术培训、进修和业务指导。</w:t>
      </w:r>
    </w:p>
    <w:p>
      <w:pPr>
        <w:keepNext w:val="0"/>
        <w:keepLines w:val="0"/>
        <w:widowControl w:val="0"/>
        <w:suppressLineNumbers w:val="0"/>
        <w:snapToGrid w:val="0"/>
        <w:spacing w:before="0" w:beforeAutospacing="0" w:after="0" w:afterAutospacing="0"/>
        <w:ind w:left="0" w:right="0" w:firstLine="600" w:firstLineChars="200"/>
        <w:jc w:val="both"/>
        <w:rPr>
          <w:rFonts w:ascii="仿宋_GB2312" w:hAnsi="宋体" w:eastAsia="仿宋_GB2312" w:cs="宋体"/>
          <w:kern w:val="0"/>
          <w:sz w:val="32"/>
          <w:szCs w:val="32"/>
          <w:highlight w:val="yellow"/>
        </w:rPr>
      </w:pPr>
      <w:r>
        <w:rPr>
          <w:rFonts w:hint="eastAsia" w:ascii="仿宋" w:hAnsi="仿宋" w:eastAsia="仿宋" w:cs="仿宋"/>
          <w:kern w:val="2"/>
          <w:sz w:val="30"/>
          <w:szCs w:val="30"/>
          <w:lang w:val="en-US" w:eastAsia="zh-CN" w:bidi="ar"/>
        </w:rPr>
        <w:t>　　14、承担上级卫生行政和业务部门交办的其它事宜。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val="0"/>
        <w:suppressLineNumbers w:val="0"/>
        <w:snapToGrid w:val="0"/>
        <w:spacing w:before="0" w:beforeAutospacing="0" w:after="0" w:afterAutospacing="0"/>
        <w:ind w:left="0" w:right="0" w:firstLine="600" w:firstLineChars="200"/>
        <w:jc w:val="both"/>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单位共有在职人员37人，其中正科2人；副科2人，一般干部33人。</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pStyle w:val="2"/>
        <w:rPr>
          <w:rFonts w:hint="eastAsia" w:ascii="仿宋_GB2312" w:hAnsi="黑体" w:eastAsia="仿宋_GB2312"/>
          <w:b/>
          <w:sz w:val="52"/>
          <w:szCs w:val="52"/>
        </w:rPr>
      </w:pPr>
    </w:p>
    <w:p>
      <w:pPr>
        <w:rPr>
          <w:rFonts w:hint="eastAsia"/>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2022年预算收入5339381.49元，比上年预算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1115640.49</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增长</w:t>
      </w:r>
      <w:r>
        <w:rPr>
          <w:rFonts w:hint="eastAsia" w:ascii="仿宋_GB2312" w:hAnsi="黑体" w:eastAsia="仿宋_GB2312"/>
          <w:sz w:val="32"/>
          <w:szCs w:val="32"/>
          <w:highlight w:val="none"/>
          <w:lang w:val="en-US" w:eastAsia="zh-CN"/>
        </w:rPr>
        <w:t>20.89%，</w:t>
      </w:r>
      <w:r>
        <w:rPr>
          <w:rFonts w:hint="eastAsia" w:ascii="仿宋_GB2312" w:hAnsi="黑体" w:eastAsia="仿宋_GB2312"/>
          <w:sz w:val="32"/>
          <w:szCs w:val="32"/>
          <w:highlight w:val="none"/>
        </w:rPr>
        <w:t>其中：一般公共预算财政拨款收入5339381.49元，政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5339381.49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2022年工资及奖金增加项目开支增加。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39756.00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比上年减少</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其中：</w:t>
      </w:r>
      <w:r>
        <w:rPr>
          <w:rFonts w:hint="eastAsia" w:ascii="仿宋_GB2312" w:hAnsi="宋体" w:eastAsia="仿宋_GB2312"/>
          <w:sz w:val="32"/>
          <w:szCs w:val="32"/>
          <w:highlight w:val="none"/>
          <w:lang w:val="en-US" w:eastAsia="zh-CN"/>
        </w:rPr>
        <w:t>财政拨款</w:t>
      </w:r>
      <w:r>
        <w:rPr>
          <w:rFonts w:hint="eastAsia" w:ascii="仿宋_GB2312" w:hAnsi="黑体" w:eastAsia="仿宋_GB2312"/>
          <w:sz w:val="32"/>
          <w:szCs w:val="32"/>
          <w:highlight w:val="none"/>
        </w:rPr>
        <w:t>39756.00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，主要原因是</w:t>
      </w:r>
      <w:r>
        <w:rPr>
          <w:rFonts w:hint="eastAsia" w:ascii="仿宋_GB2312" w:hAnsi="宋体" w:eastAsia="仿宋_GB2312"/>
          <w:sz w:val="32"/>
          <w:szCs w:val="32"/>
          <w:lang w:val="en-US" w:eastAsia="zh-CN"/>
        </w:rPr>
        <w:t>开支进行了压缩</w:t>
      </w:r>
      <w:r>
        <w:rPr>
          <w:rFonts w:hint="eastAsia" w:ascii="仿宋_GB2312" w:hAnsi="宋体" w:eastAsia="仿宋_GB2312"/>
          <w:sz w:val="32"/>
          <w:szCs w:val="32"/>
          <w:highlight w:val="none"/>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480541.25元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2%，</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人员开支增加。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卫生健康支出4463127.76</w:t>
      </w:r>
      <w:r>
        <w:rPr>
          <w:rFonts w:hint="eastAsia" w:ascii="仿宋_GB2312" w:hAnsi="黑体" w:eastAsia="仿宋_GB2312"/>
          <w:sz w:val="32"/>
          <w:szCs w:val="32"/>
          <w:highlight w:val="none"/>
          <w:lang w:eastAsia="zh-CN"/>
        </w:rPr>
        <w:t>元，比上年增加</w:t>
      </w:r>
      <w:r>
        <w:rPr>
          <w:rFonts w:hint="eastAsia" w:ascii="仿宋_GB2312" w:hAnsi="黑体" w:eastAsia="仿宋_GB2312"/>
          <w:sz w:val="32"/>
          <w:szCs w:val="32"/>
          <w:highlight w:val="none"/>
          <w:lang w:val="en-US" w:eastAsia="zh-CN"/>
        </w:rPr>
        <w:t>21%，</w:t>
      </w:r>
      <w:r>
        <w:rPr>
          <w:rFonts w:hint="eastAsia" w:ascii="仿宋_GB2312" w:hAnsi="宋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人员开支增加。</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住房保障支出355956.48元，上年无此项。</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5201381.49</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比上年增加</w:t>
      </w:r>
      <w:r>
        <w:rPr>
          <w:rFonts w:hint="eastAsia" w:ascii="仿宋_GB2312" w:hAnsi="宋体" w:eastAsia="仿宋_GB2312"/>
          <w:sz w:val="32"/>
          <w:szCs w:val="32"/>
          <w:highlight w:val="none"/>
          <w:lang w:val="en-US" w:eastAsia="zh-CN"/>
        </w:rPr>
        <w:t>29%</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rPr>
        <w:t>108000.00</w:t>
      </w:r>
      <w:r>
        <w:rPr>
          <w:rFonts w:hint="eastAsia" w:ascii="仿宋_GB2312" w:hAnsi="宋体" w:eastAsia="仿宋_GB2312"/>
          <w:sz w:val="32"/>
          <w:szCs w:val="32"/>
        </w:rPr>
        <w:t>元</w:t>
      </w:r>
      <w:r>
        <w:rPr>
          <w:rFonts w:hint="eastAsia" w:ascii="仿宋_GB2312" w:hAnsi="宋体" w:eastAsia="仿宋_GB2312"/>
          <w:sz w:val="32"/>
          <w:szCs w:val="32"/>
          <w:lang w:eastAsia="zh-CN"/>
        </w:rPr>
        <w:t>，比上年减少</w:t>
      </w:r>
      <w:r>
        <w:rPr>
          <w:rFonts w:hint="eastAsia" w:ascii="仿宋_GB2312" w:hAnsi="宋体" w:eastAsia="仿宋_GB2312"/>
          <w:sz w:val="32"/>
          <w:szCs w:val="32"/>
          <w:lang w:val="en-US" w:eastAsia="zh-CN"/>
        </w:rPr>
        <w:t>40%，主要原因为：2022年个人奖金与工资增加，但公用经费进行了压缩。</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2022年预算支出39756.00元，</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1%，</w:t>
      </w:r>
      <w:r>
        <w:rPr>
          <w:rFonts w:hint="eastAsia" w:ascii="仿宋_GB2312" w:hAnsi="黑体" w:eastAsia="仿宋_GB2312"/>
          <w:sz w:val="32"/>
          <w:szCs w:val="32"/>
          <w:highlight w:val="none"/>
        </w:rPr>
        <w:t>其中：工会事务（项）2022年预算支出39756.00元</w:t>
      </w:r>
      <w:r>
        <w:rPr>
          <w:rFonts w:hint="eastAsia" w:ascii="仿宋_GB2312" w:hAnsi="黑体" w:eastAsia="仿宋_GB2312"/>
          <w:sz w:val="32"/>
          <w:szCs w:val="32"/>
          <w:highlight w:val="none"/>
          <w:lang w:eastAsia="zh-CN"/>
        </w:rPr>
        <w:t>，工会会员减少</w:t>
      </w:r>
      <w:r>
        <w:rPr>
          <w:rFonts w:hint="eastAsia" w:ascii="仿宋_GB2312" w:hAnsi="黑体" w:eastAsia="仿宋_GB2312"/>
          <w:sz w:val="32"/>
          <w:szCs w:val="32"/>
          <w:highlight w:val="none"/>
        </w:rPr>
        <w:t>。</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）行政事业单位养老支出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2022年预算支出474608.64元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其中：机关事业单位基本养老保险缴费支出（项）2022年预算支出474608.64元</w:t>
      </w:r>
      <w:r>
        <w:rPr>
          <w:rFonts w:hint="eastAsia" w:ascii="仿宋_GB2312" w:hAnsi="黑体" w:eastAsia="仿宋_GB2312"/>
          <w:sz w:val="32"/>
          <w:szCs w:val="32"/>
          <w:highlight w:val="none"/>
          <w:lang w:eastAsia="zh-CN"/>
        </w:rPr>
        <w:t>，单位在职人员增加，工资增长</w:t>
      </w:r>
      <w:r>
        <w:rPr>
          <w:rFonts w:hint="eastAsia" w:ascii="仿宋_GB2312" w:hAnsi="黑体" w:eastAsia="仿宋_GB2312"/>
          <w:sz w:val="32"/>
          <w:szCs w:val="32"/>
          <w:highlight w:val="none"/>
        </w:rPr>
        <w:t>。</w:t>
      </w:r>
    </w:p>
    <w:p>
      <w:pPr>
        <w:spacing w:line="640" w:lineRule="exact"/>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财政对其他社会保险基金的补助</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2022年预算支出5932.61元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其中：财政对工伤保险基金的补助支出（项）2022年预算支出5932.61元</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三</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卫生健康管理事务</w:t>
      </w:r>
      <w:r>
        <w:rPr>
          <w:rFonts w:hint="eastAsia" w:ascii="仿宋_GB2312" w:hAnsi="黑体" w:eastAsia="仿宋_GB2312"/>
          <w:sz w:val="32"/>
          <w:szCs w:val="32"/>
          <w:highlight w:val="none"/>
          <w:lang w:eastAsia="zh-CN"/>
        </w:rPr>
        <w:t>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4265026元，比上年增加</w:t>
      </w:r>
      <w:r>
        <w:rPr>
          <w:rFonts w:hint="eastAsia" w:ascii="仿宋_GB2312" w:hAnsi="黑体" w:eastAsia="仿宋_GB2312"/>
          <w:sz w:val="32"/>
          <w:szCs w:val="32"/>
          <w:highlight w:val="none"/>
          <w:lang w:val="en-US" w:eastAsia="zh-CN"/>
        </w:rPr>
        <w:t>15%</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其中：行政运行支出（项）2022年预算支出</w:t>
      </w:r>
      <w:r>
        <w:rPr>
          <w:rFonts w:hint="eastAsia" w:ascii="仿宋_GB2312" w:hAnsi="黑体" w:eastAsia="仿宋_GB2312"/>
          <w:sz w:val="32"/>
          <w:szCs w:val="32"/>
          <w:highlight w:val="none"/>
          <w:lang w:eastAsia="zh-CN"/>
        </w:rPr>
        <w:t>4265026.00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，增加了项目支出资金</w:t>
      </w:r>
      <w:r>
        <w:rPr>
          <w:rFonts w:hint="eastAsia" w:ascii="仿宋_GB2312" w:hAnsi="黑体" w:eastAsia="仿宋_GB2312"/>
          <w:sz w:val="32"/>
          <w:szCs w:val="32"/>
          <w:highlight w:val="none"/>
        </w:rPr>
        <w:t>。</w:t>
      </w:r>
    </w:p>
    <w:p>
      <w:pPr>
        <w:spacing w:line="640" w:lineRule="exact"/>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财政对职工基本医疗保险基金的补助</w:t>
      </w:r>
      <w:r>
        <w:rPr>
          <w:rFonts w:hint="eastAsia" w:ascii="仿宋_GB2312" w:hAnsi="黑体" w:eastAsia="仿宋_GB2312"/>
          <w:sz w:val="32"/>
          <w:szCs w:val="32"/>
          <w:highlight w:val="none"/>
          <w:lang w:eastAsia="zh-CN"/>
        </w:rPr>
        <w:t>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198101.76元。</w:t>
      </w:r>
      <w:r>
        <w:rPr>
          <w:rFonts w:hint="eastAsia" w:ascii="仿宋_GB2312" w:hAnsi="黑体" w:eastAsia="仿宋_GB2312"/>
          <w:sz w:val="32"/>
          <w:szCs w:val="32"/>
          <w:highlight w:val="none"/>
        </w:rPr>
        <w:t>其中：财政对职工基本医疗保险基金的补助支出（项）2022年预算支出</w:t>
      </w:r>
      <w:r>
        <w:rPr>
          <w:rFonts w:hint="eastAsia" w:ascii="仿宋_GB2312" w:hAnsi="黑体" w:eastAsia="仿宋_GB2312"/>
          <w:sz w:val="32"/>
          <w:szCs w:val="32"/>
          <w:highlight w:val="none"/>
          <w:lang w:eastAsia="zh-CN"/>
        </w:rPr>
        <w:t>198101.76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，人员增加，工资增长</w:t>
      </w:r>
      <w:r>
        <w:rPr>
          <w:rFonts w:hint="eastAsia" w:ascii="仿宋_GB2312" w:hAnsi="黑体" w:eastAsia="仿宋_GB2312"/>
          <w:sz w:val="32"/>
          <w:szCs w:val="32"/>
          <w:highlight w:val="none"/>
        </w:rPr>
        <w:t>。</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）住房改革支出</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款</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355956.48元。</w:t>
      </w:r>
      <w:r>
        <w:rPr>
          <w:rFonts w:hint="eastAsia" w:ascii="仿宋_GB2312" w:hAnsi="黑体" w:eastAsia="仿宋_GB2312"/>
          <w:sz w:val="32"/>
          <w:szCs w:val="32"/>
          <w:highlight w:val="none"/>
        </w:rPr>
        <w:t>其中：住房公积金（项）2022年预算支出</w:t>
      </w:r>
      <w:r>
        <w:rPr>
          <w:rFonts w:hint="eastAsia" w:ascii="仿宋_GB2312" w:hAnsi="黑体" w:eastAsia="仿宋_GB2312"/>
          <w:sz w:val="32"/>
          <w:szCs w:val="32"/>
          <w:highlight w:val="none"/>
          <w:lang w:eastAsia="zh-CN"/>
        </w:rPr>
        <w:t>355956.48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，上年未列入单位预算</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val="en-US" w:eastAsia="zh-CN"/>
        </w:rPr>
        <w:t>预算数5309381.49元，比上年预算数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1085640.49</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5201381.49</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108000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30000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p>
    <w:p>
      <w:pPr>
        <w:numPr>
          <w:ilvl w:val="0"/>
          <w:numId w:val="2"/>
        </w:num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numPr>
          <w:numId w:val="0"/>
        </w:num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bookmarkStart w:id="0" w:name="_GoBack"/>
      <w:bookmarkEnd w:id="0"/>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default" w:ascii="仿宋_GB2312" w:hAnsi="黑体" w:eastAsia="仿宋_GB2312"/>
          <w:sz w:val="32"/>
          <w:szCs w:val="32"/>
          <w:highlight w:val="none"/>
          <w:lang w:val="en-US"/>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108000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减少30000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7000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513000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98.7%</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2022年采购项目减少。其中：政府商品采购70000元。</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7801D"/>
    <w:multiLevelType w:val="singleLevel"/>
    <w:tmpl w:val="A8E7801D"/>
    <w:lvl w:ilvl="0" w:tentative="0">
      <w:start w:val="1"/>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954AF"/>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0D57D8"/>
    <w:rsid w:val="0B896034"/>
    <w:rsid w:val="0C09094D"/>
    <w:rsid w:val="0D824E94"/>
    <w:rsid w:val="0E6F37D9"/>
    <w:rsid w:val="112936A0"/>
    <w:rsid w:val="12421E0E"/>
    <w:rsid w:val="1250416D"/>
    <w:rsid w:val="134F2994"/>
    <w:rsid w:val="13B82E0D"/>
    <w:rsid w:val="141D039C"/>
    <w:rsid w:val="17432B85"/>
    <w:rsid w:val="188A43A2"/>
    <w:rsid w:val="188A704A"/>
    <w:rsid w:val="1909264A"/>
    <w:rsid w:val="198119BE"/>
    <w:rsid w:val="1B78482C"/>
    <w:rsid w:val="1C6D14AF"/>
    <w:rsid w:val="1C6D1D31"/>
    <w:rsid w:val="1D654F62"/>
    <w:rsid w:val="204B1966"/>
    <w:rsid w:val="205A7194"/>
    <w:rsid w:val="20F63C41"/>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3E1B5919"/>
    <w:rsid w:val="40465DD0"/>
    <w:rsid w:val="40CC1D5D"/>
    <w:rsid w:val="416268DB"/>
    <w:rsid w:val="452F6292"/>
    <w:rsid w:val="45D16BF2"/>
    <w:rsid w:val="47AF499B"/>
    <w:rsid w:val="484D612A"/>
    <w:rsid w:val="48A9072C"/>
    <w:rsid w:val="4D903B41"/>
    <w:rsid w:val="4DA8126D"/>
    <w:rsid w:val="4DD72226"/>
    <w:rsid w:val="4EA300AE"/>
    <w:rsid w:val="4F2B2E64"/>
    <w:rsid w:val="50622DD8"/>
    <w:rsid w:val="51C77E42"/>
    <w:rsid w:val="54B1376D"/>
    <w:rsid w:val="56311F34"/>
    <w:rsid w:val="564548F7"/>
    <w:rsid w:val="565305B1"/>
    <w:rsid w:val="56C73340"/>
    <w:rsid w:val="59441D15"/>
    <w:rsid w:val="5A3206F2"/>
    <w:rsid w:val="5EB753D1"/>
    <w:rsid w:val="5EC438C9"/>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9F301DD"/>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2924</Words>
  <Characters>3303</Characters>
  <Lines>16</Lines>
  <Paragraphs>4</Paragraphs>
  <TotalTime>1</TotalTime>
  <ScaleCrop>false</ScaleCrop>
  <LinksUpToDate>false</LinksUpToDate>
  <CharactersWithSpaces>3386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2023-06-09T04:42:53Z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AC220D6129C14F3FA4B04C567A301577_13</vt:lpwstr>
  </property>
</Properties>
</file>