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东乡县地病办</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color w:val="000000"/>
          <w:spacing w:val="0"/>
          <w:w w:val="100"/>
          <w:position w:val="0"/>
          <w:sz w:val="32"/>
          <w:szCs w:val="32"/>
        </w:rPr>
      </w:pPr>
    </w:p>
    <w:p>
      <w:pPr>
        <w:ind w:firstLine="600" w:firstLineChars="200"/>
        <w:rPr>
          <w:rFonts w:hint="eastAsia" w:ascii="仿宋_GB2312" w:hAnsi="仿宋_GB2312" w:eastAsia="仿宋_GB2312" w:cs="仿宋_GB2312"/>
          <w:b/>
          <w:bCs/>
          <w:color w:val="000000"/>
          <w:spacing w:val="0"/>
          <w:w w:val="100"/>
          <w:position w:val="0"/>
          <w:sz w:val="32"/>
          <w:szCs w:val="32"/>
        </w:rPr>
      </w:pPr>
      <w:r>
        <w:rPr>
          <w:rFonts w:hint="eastAsia" w:ascii="黑体" w:hAnsi="黑体" w:eastAsia="黑体"/>
          <w:sz w:val="30"/>
          <w:szCs w:val="30"/>
        </w:rPr>
        <w:t>一、部门基本情况</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（一）职能职责</w:t>
      </w:r>
    </w:p>
    <w:p>
      <w:pPr>
        <w:keepNext w:val="0"/>
        <w:keepLines w:val="0"/>
        <w:shd w:val="clear"/>
        <w:bidi w:val="0"/>
        <w:spacing w:before="0" w:after="0" w:line="240" w:lineRule="auto"/>
        <w:ind w:left="0" w:right="0" w:firstLine="640" w:firstLineChars="200"/>
        <w:jc w:val="both"/>
        <w:rPr>
          <w:rFonts w:hint="eastAsia" w:ascii="仿宋" w:hAnsi="仿宋" w:eastAsia="仿宋" w:cs="仿宋"/>
          <w:color w:val="000000"/>
          <w:spacing w:val="0"/>
          <w:w w:val="100"/>
          <w:position w:val="0"/>
          <w:sz w:val="32"/>
          <w:szCs w:val="32"/>
          <w:u w:val="none"/>
          <w:shd w:val="clear" w:color="auto" w:fill="auto"/>
          <w:lang w:val="zh-TW" w:eastAsia="zh-CN" w:bidi="zh-TW"/>
        </w:rPr>
      </w:pPr>
      <w:r>
        <w:rPr>
          <w:rFonts w:hint="eastAsia" w:ascii="仿宋" w:hAnsi="仿宋" w:eastAsia="仿宋" w:cs="仿宋"/>
          <w:color w:val="000000"/>
          <w:spacing w:val="0"/>
          <w:w w:val="100"/>
          <w:position w:val="0"/>
          <w:sz w:val="32"/>
          <w:szCs w:val="32"/>
          <w:u w:val="none"/>
          <w:shd w:val="clear" w:color="auto" w:fill="auto"/>
          <w:lang w:val="zh-TW" w:eastAsia="zh-CN" w:bidi="zh-TW"/>
        </w:rPr>
        <w:t>正科级事业单位，核定事业编制17名，核定领导职数3名。主要职责：负责制定并组织实施全省地方病及其相关疾病的防治规划和方案，研究制定重点地方病防治工作策略；指导和协调地方各级政府及有关部门开展地方病防治工作并进行监督检查和评价；组织开展地方病科学研究并推广中西医适宜防治技术，组织对地方病重大疫、病情的处置；组织全省地方病防治管理和专业人员培训，广泛开展群众性地方病防治健康教育活动。</w:t>
      </w:r>
    </w:p>
    <w:p>
      <w:pPr>
        <w:ind w:firstLine="602" w:firstLineChars="200"/>
        <w:rPr>
          <w:rFonts w:hint="eastAsia" w:ascii="仿宋_GB2312" w:hAnsi="仿宋_GB2312" w:eastAsia="仿宋_GB2312" w:cs="仿宋_GB2312"/>
          <w:color w:val="000000"/>
          <w:spacing w:val="0"/>
          <w:w w:val="100"/>
          <w:position w:val="0"/>
          <w:sz w:val="32"/>
          <w:szCs w:val="32"/>
        </w:rPr>
      </w:pPr>
      <w:r>
        <w:rPr>
          <w:rFonts w:hint="eastAsia" w:ascii="楷体_GB2312" w:eastAsia="楷体_GB2312"/>
          <w:b/>
          <w:sz w:val="30"/>
          <w:szCs w:val="30"/>
        </w:rPr>
        <w:t>（二）机构设置</w:t>
      </w:r>
    </w:p>
    <w:p>
      <w:pPr>
        <w:numPr>
          <w:ilvl w:val="0"/>
          <w:numId w:val="0"/>
        </w:numPr>
        <w:ind w:right="0" w:rightChars="0" w:firstLine="640" w:firstLineChars="200"/>
        <w:rPr>
          <w:rFonts w:hint="eastAsia" w:ascii="仿宋_GB2312" w:hAnsi="仿宋_GB2312" w:eastAsia="仿宋_GB2312" w:cs="仿宋_GB2312"/>
          <w:sz w:val="32"/>
          <w:szCs w:val="32"/>
        </w:rPr>
      </w:pPr>
      <w:r>
        <w:rPr>
          <w:rFonts w:ascii="Times" w:hAnsi="Times" w:eastAsia="仿宋_GB2312" w:cs="仿宋_GB2312"/>
          <w:sz w:val="32"/>
          <w:szCs w:val="32"/>
        </w:rPr>
        <w:t>正科级事业单位，核定事业编制17名，核定领导职数3名</w:t>
      </w:r>
      <w:r>
        <w:rPr>
          <w:rFonts w:hint="eastAsia" w:ascii="Times" w:hAnsi="Times" w:eastAsia="仿宋_GB2312" w:cs="仿宋_GB2312"/>
          <w:sz w:val="32"/>
          <w:szCs w:val="32"/>
          <w:lang w:val="en-US" w:eastAsia="zh-CN"/>
        </w:rPr>
        <w:t>(其中正科级1名，副科级2名）内设；办公室，业务股，宣教股，财务股，检验股。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黑体" w:hAnsi="黑体" w:eastAsia="黑体"/>
          <w:sz w:val="30"/>
          <w:szCs w:val="30"/>
        </w:rPr>
        <w:t>二、</w:t>
      </w:r>
      <w:r>
        <w:rPr>
          <w:rFonts w:hint="eastAsia" w:ascii="黑体" w:hAnsi="黑体" w:eastAsia="黑体"/>
          <w:sz w:val="30"/>
          <w:szCs w:val="30"/>
          <w:lang w:eastAsia="zh-CN"/>
        </w:rPr>
        <w:t>2021年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hint="eastAsia" w:ascii="黑体" w:hAnsi="黑体" w:eastAsia="黑体"/>
          <w:sz w:val="30"/>
          <w:szCs w:val="30"/>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803" w:firstLineChars="200"/>
        <w:jc w:val="left"/>
        <w:textAlignment w:val="auto"/>
        <w:rPr>
          <w:rFonts w:hint="eastAsia" w:ascii="仿宋_GB2312" w:hAnsi="仿宋_GB2312" w:eastAsia="仿宋_GB2312" w:cs="仿宋_GB2312"/>
          <w:b/>
          <w:bCs/>
          <w:color w:val="000000"/>
          <w:spacing w:val="0"/>
          <w:w w:val="100"/>
          <w:position w:val="0"/>
          <w:sz w:val="40"/>
          <w:szCs w:val="40"/>
        </w:rPr>
      </w:pPr>
      <w:r>
        <w:rPr>
          <w:rFonts w:hint="eastAsia" w:ascii="仿宋_GB2312" w:hAnsi="仿宋_GB2312" w:eastAsia="仿宋_GB2312" w:cs="仿宋_GB2312"/>
          <w:b/>
          <w:bCs/>
          <w:color w:val="000000"/>
          <w:spacing w:val="0"/>
          <w:w w:val="100"/>
          <w:position w:val="0"/>
          <w:sz w:val="40"/>
          <w:szCs w:val="40"/>
          <w:lang w:val="en-US" w:eastAsia="zh-CN"/>
        </w:rPr>
        <w:t xml:space="preserve">三、 </w:t>
      </w:r>
      <w:r>
        <w:rPr>
          <w:rFonts w:hint="eastAsia" w:ascii="仿宋_GB2312" w:hAnsi="仿宋_GB2312" w:eastAsia="仿宋_GB2312" w:cs="仿宋_GB2312"/>
          <w:b/>
          <w:bCs/>
          <w:color w:val="000000"/>
          <w:spacing w:val="0"/>
          <w:w w:val="100"/>
          <w:position w:val="0"/>
          <w:sz w:val="40"/>
          <w:szCs w:val="40"/>
          <w:lang w:eastAsia="zh-CN"/>
        </w:rPr>
        <w:t>2021</w:t>
      </w:r>
      <w:r>
        <w:rPr>
          <w:rFonts w:hint="eastAsia" w:ascii="仿宋_GB2312" w:hAnsi="仿宋_GB2312" w:eastAsia="仿宋_GB2312" w:cs="仿宋_GB2312"/>
          <w:b/>
          <w:bCs/>
          <w:color w:val="000000"/>
          <w:spacing w:val="0"/>
          <w:w w:val="100"/>
          <w:position w:val="0"/>
          <w:sz w:val="40"/>
          <w:szCs w:val="40"/>
        </w:rPr>
        <w:t>年度部门决算情况说明</w:t>
      </w:r>
    </w:p>
    <w:p>
      <w:pPr>
        <w:keepNext w:val="0"/>
        <w:keepLines w:val="0"/>
        <w:pageBreakBefore w:val="0"/>
        <w:widowControl w:val="0"/>
        <w:shd w:val="clear" w:color="auto" w:fill="auto"/>
        <w:kinsoku/>
        <w:wordWrap/>
        <w:overflowPunct/>
        <w:topLinePunct w:val="0"/>
        <w:autoSpaceDE/>
        <w:autoSpaceDN/>
        <w:bidi w:val="0"/>
        <w:adjustRightInd/>
        <w:snapToGrid/>
        <w:ind w:firstLine="723" w:firstLineChars="200"/>
        <w:textAlignment w:val="auto"/>
        <w:rPr>
          <w:rFonts w:hint="eastAsia" w:ascii="楷体_GB2312" w:eastAsia="楷体_GB2312"/>
          <w:b/>
          <w:sz w:val="36"/>
          <w:szCs w:val="36"/>
        </w:rPr>
      </w:pPr>
      <w:r>
        <w:rPr>
          <w:rFonts w:hint="eastAsia" w:ascii="楷体_GB2312" w:eastAsia="楷体_GB2312"/>
          <w:b/>
          <w:sz w:val="36"/>
          <w:szCs w:val="36"/>
        </w:rPr>
        <w:t>（一）收入支出决算总体情况说明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960" w:firstLineChars="3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eastAsia="zh-CN"/>
        </w:rPr>
        <w:t>年</w:t>
      </w:r>
      <w:r>
        <w:rPr>
          <w:rFonts w:hint="eastAsia" w:ascii="仿宋_GB2312" w:hAnsi="仿宋_GB2312" w:eastAsia="仿宋_GB2312" w:cs="仿宋_GB2312"/>
          <w:color w:val="000000"/>
          <w:spacing w:val="0"/>
          <w:w w:val="100"/>
          <w:position w:val="0"/>
          <w:sz w:val="32"/>
          <w:szCs w:val="32"/>
        </w:rPr>
        <w:t>度收入总计</w:t>
      </w:r>
      <w:r>
        <w:rPr>
          <w:rFonts w:hint="eastAsia" w:ascii="仿宋_GB2312" w:hAnsi="仿宋_GB2312" w:eastAsia="仿宋_GB2312" w:cs="仿宋_GB2312"/>
          <w:color w:val="000000"/>
          <w:spacing w:val="0"/>
          <w:w w:val="100"/>
          <w:position w:val="0"/>
          <w:sz w:val="32"/>
          <w:szCs w:val="32"/>
          <w:lang w:val="en-US" w:eastAsia="zh-CN"/>
        </w:rPr>
        <w:t>2704424.15</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，支出总计2704424.15</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。与</w:t>
      </w:r>
      <w:r>
        <w:rPr>
          <w:rFonts w:hint="eastAsia" w:ascii="仿宋_GB2312" w:hAnsi="仿宋_GB2312" w:eastAsia="仿宋_GB2312" w:cs="仿宋_GB2312"/>
          <w:color w:val="000000"/>
          <w:spacing w:val="0"/>
          <w:w w:val="100"/>
          <w:position w:val="0"/>
          <w:sz w:val="32"/>
          <w:szCs w:val="32"/>
          <w:lang w:eastAsia="zh-CN"/>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年决算数相比，收入增加</w:t>
      </w:r>
      <w:r>
        <w:rPr>
          <w:rFonts w:hint="eastAsia" w:ascii="仿宋_GB2312" w:hAnsi="仿宋_GB2312" w:eastAsia="仿宋_GB2312" w:cs="仿宋_GB2312"/>
          <w:color w:val="000000"/>
          <w:spacing w:val="0"/>
          <w:w w:val="100"/>
          <w:position w:val="0"/>
          <w:sz w:val="32"/>
          <w:szCs w:val="32"/>
          <w:lang w:val="en-US" w:eastAsia="zh-CN"/>
        </w:rPr>
        <w:t>55966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%，支出增加</w:t>
      </w:r>
      <w:r>
        <w:rPr>
          <w:rFonts w:hint="eastAsia" w:ascii="仿宋_GB2312" w:hAnsi="仿宋_GB2312" w:eastAsia="仿宋_GB2312" w:cs="仿宋_GB2312"/>
          <w:color w:val="000000"/>
          <w:spacing w:val="0"/>
          <w:w w:val="100"/>
          <w:position w:val="0"/>
          <w:sz w:val="32"/>
          <w:szCs w:val="32"/>
          <w:lang w:val="en-US" w:eastAsia="zh-CN"/>
        </w:rPr>
        <w:t>55966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人员工资增加</w:t>
      </w:r>
      <w:r>
        <w:rPr>
          <w:rFonts w:hint="eastAsia" w:ascii="仿宋_GB2312" w:hAnsi="仿宋_GB2312" w:eastAsia="仿宋_GB2312" w:cs="仿宋_GB2312"/>
          <w:color w:val="000000"/>
          <w:spacing w:val="0"/>
          <w:w w:val="100"/>
          <w:position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ascii="楷体_GB2312" w:eastAsia="楷体_GB2312"/>
          <w:b/>
          <w:sz w:val="36"/>
          <w:szCs w:val="36"/>
        </w:rPr>
      </w:pPr>
      <w:r>
        <w:rPr>
          <w:rFonts w:hint="eastAsia" w:ascii="楷体_GB2312" w:eastAsia="楷体_GB2312"/>
          <w:b/>
          <w:sz w:val="36"/>
          <w:szCs w:val="36"/>
        </w:rPr>
        <w:t>（二）财政拨款收入支出决算总体情况说明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960" w:firstLineChars="3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rPr>
        <w:t>2702604.15</w:t>
      </w:r>
      <w:r>
        <w:rPr>
          <w:rFonts w:hint="eastAsia" w:ascii="仿宋_GB2312" w:hAnsi="仿宋_GB2312" w:eastAsia="仿宋_GB2312" w:cs="仿宋_GB2312"/>
          <w:color w:val="000000"/>
          <w:spacing w:val="0"/>
          <w:w w:val="100"/>
          <w:position w:val="0"/>
          <w:sz w:val="32"/>
          <w:szCs w:val="32"/>
        </w:rPr>
        <w:t>元，其中：财政拨款收入2702604.15元，占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%;与</w:t>
      </w:r>
      <w:r>
        <w:rPr>
          <w:rFonts w:hint="eastAsia" w:ascii="仿宋_GB2312" w:hAnsi="仿宋_GB2312" w:eastAsia="仿宋_GB2312" w:cs="仿宋_GB2312"/>
          <w:color w:val="000000"/>
          <w:spacing w:val="0"/>
          <w:w w:val="100"/>
          <w:position w:val="0"/>
          <w:sz w:val="32"/>
          <w:szCs w:val="32"/>
          <w:lang w:eastAsia="zh-CN"/>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年决算数相比，收入增加</w:t>
      </w:r>
      <w:r>
        <w:rPr>
          <w:rFonts w:hint="eastAsia" w:ascii="仿宋_GB2312" w:hAnsi="仿宋_GB2312" w:eastAsia="仿宋_GB2312" w:cs="仿宋_GB2312"/>
          <w:color w:val="000000"/>
          <w:spacing w:val="0"/>
          <w:w w:val="100"/>
          <w:position w:val="0"/>
          <w:sz w:val="32"/>
          <w:szCs w:val="32"/>
          <w:lang w:val="en-US" w:eastAsia="zh-CN"/>
        </w:rPr>
        <w:t>55966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人员工资增加</w:t>
      </w:r>
      <w:r>
        <w:rPr>
          <w:rFonts w:hint="eastAsia" w:ascii="仿宋_GB2312" w:hAnsi="仿宋_GB2312" w:eastAsia="仿宋_GB2312" w:cs="仿宋_GB2312"/>
          <w:color w:val="000000"/>
          <w:spacing w:val="0"/>
          <w:w w:val="100"/>
          <w:position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964" w:firstLineChars="300"/>
        <w:textAlignment w:val="auto"/>
        <w:rPr>
          <w:rFonts w:hint="eastAsia" w:ascii="仿宋_GB2312" w:eastAsia="仿宋_GB2312"/>
          <w:sz w:val="30"/>
          <w:szCs w:val="30"/>
          <w:lang w:val="en-US" w:eastAsia="zh-CN"/>
        </w:rPr>
      </w:pPr>
      <w:r>
        <w:rPr>
          <w:rFonts w:hint="eastAsia" w:ascii="楷体_GB2312" w:eastAsia="楷体_GB2312"/>
          <w:b/>
          <w:sz w:val="32"/>
          <w:szCs w:val="32"/>
        </w:rPr>
        <w:t>（三）一般公共预算财政拨款基本支出决算情况说明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年度支出合计2702604.15元，其中：基本支出</w:t>
      </w:r>
      <w:r>
        <w:rPr>
          <w:rFonts w:hint="eastAsia" w:ascii="仿宋_GB2312" w:hAnsi="仿宋_GB2312" w:eastAsia="仿宋_GB2312" w:cs="仿宋_GB2312"/>
          <w:color w:val="000000"/>
          <w:spacing w:val="0"/>
          <w:w w:val="100"/>
          <w:position w:val="0"/>
          <w:sz w:val="32"/>
          <w:szCs w:val="32"/>
          <w:lang w:val="en-US" w:eastAsia="en-US" w:bidi="en-US"/>
        </w:rPr>
        <w:t>2702604.15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注：本部分至少应包括单位收入、支出、结转（余）等决算数据的具体情况，并说明上下年收支增减变化情况和原因、预决算收支差异情况和原因等。其他内容部门可根据需要进行增加补充。</w:t>
      </w:r>
      <w:r>
        <w:rPr>
          <w:rFonts w:hint="eastAsia" w:ascii="仿宋_GB2312" w:hAnsi="仿宋_GB2312" w:eastAsia="仿宋_GB2312" w:cs="仿宋_GB2312"/>
          <w:color w:val="000000"/>
          <w:spacing w:val="0"/>
          <w:w w:val="100"/>
          <w:position w:val="0"/>
          <w:sz w:val="32"/>
          <w:szCs w:val="32"/>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keepNext w:val="0"/>
        <w:keepLines w:val="0"/>
        <w:pageBreakBefore w:val="0"/>
        <w:widowControl w:val="0"/>
        <w:kinsoku/>
        <w:wordWrap/>
        <w:overflowPunct/>
        <w:topLinePunct w:val="0"/>
        <w:autoSpaceDE/>
        <w:autoSpaceDN/>
        <w:bidi w:val="0"/>
        <w:adjustRightInd/>
        <w:snapToGrid/>
        <w:ind w:firstLine="904" w:firstLineChars="300"/>
        <w:textAlignment w:val="auto"/>
        <w:rPr>
          <w:rFonts w:ascii="楷体_GB2312" w:eastAsia="楷体_GB2312"/>
          <w:b/>
          <w:sz w:val="30"/>
          <w:szCs w:val="30"/>
        </w:rPr>
      </w:pPr>
      <w:r>
        <w:rPr>
          <w:rFonts w:hint="eastAsia" w:ascii="楷体_GB2312" w:eastAsia="楷体_GB2312"/>
          <w:b/>
          <w:sz w:val="30"/>
          <w:szCs w:val="30"/>
        </w:rPr>
        <w:t>（一）“三公”经费支出总额情况。</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ind w:firstLine="904" w:firstLineChars="300"/>
        <w:textAlignment w:val="auto"/>
        <w:rPr>
          <w:rFonts w:ascii="楷体_GB2312" w:eastAsia="楷体_GB2312"/>
          <w:b/>
          <w:sz w:val="30"/>
          <w:szCs w:val="30"/>
        </w:rPr>
      </w:pPr>
      <w:r>
        <w:rPr>
          <w:rFonts w:hint="eastAsia" w:ascii="楷体_GB2312" w:eastAsia="楷体_GB2312"/>
          <w:b/>
          <w:sz w:val="30"/>
          <w:szCs w:val="30"/>
        </w:rPr>
        <w:t>（二）“三公”经费分项支出情况。</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ascii="仿宋_GB2312" w:eastAsia="仿宋_GB2312"/>
          <w:sz w:val="30"/>
          <w:szCs w:val="30"/>
        </w:rPr>
      </w:pPr>
      <w:r>
        <w:rPr>
          <w:rFonts w:hint="eastAsia" w:ascii="仿宋_GB2312" w:eastAsia="仿宋_GB2312"/>
          <w:sz w:val="30"/>
          <w:szCs w:val="30"/>
          <w:lang w:eastAsia="zh-CN"/>
        </w:rPr>
        <w:t>2021年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ascii="仿宋_GB2312" w:eastAsia="仿宋_GB2312"/>
          <w:sz w:val="30"/>
          <w:szCs w:val="30"/>
        </w:rPr>
      </w:pPr>
      <w:r>
        <w:rPr>
          <w:rFonts w:hint="eastAsia" w:ascii="仿宋_GB2312" w:eastAsia="仿宋_GB2312"/>
          <w:sz w:val="30"/>
          <w:szCs w:val="30"/>
          <w:lang w:val="en-US" w:eastAsia="zh-CN"/>
        </w:rPr>
        <w:t>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80" w:lineRule="atLeast"/>
        <w:ind w:firstLine="60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黑体" w:hAnsi="黑体" w:eastAsia="黑体"/>
          <w:sz w:val="30"/>
          <w:szCs w:val="30"/>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五、其他需要说明的事项</w:t>
      </w:r>
    </w:p>
    <w:p>
      <w:pPr>
        <w:keepNext w:val="0"/>
        <w:keepLines w:val="0"/>
        <w:pageBreakBefore w:val="0"/>
        <w:widowControl w:val="0"/>
        <w:kinsoku/>
        <w:wordWrap/>
        <w:overflowPunct/>
        <w:topLinePunct w:val="0"/>
        <w:autoSpaceDE/>
        <w:autoSpaceDN/>
        <w:bidi w:val="0"/>
        <w:adjustRightInd/>
        <w:snapToGrid/>
        <w:spacing w:line="80" w:lineRule="atLeast"/>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 机关运行经费情况说明。</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2021年</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本部门机关运行经费支出68994.48</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，机关运行经费主要用于开支办公费、印刷费、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邮电费</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、手续费等。</w:t>
      </w:r>
    </w:p>
    <w:p>
      <w:pPr>
        <w:keepNext w:val="0"/>
        <w:keepLines w:val="0"/>
        <w:pageBreakBefore w:val="0"/>
        <w:widowControl w:val="0"/>
        <w:kinsoku/>
        <w:wordWrap/>
        <w:overflowPunct/>
        <w:topLinePunct w:val="0"/>
        <w:autoSpaceDE/>
        <w:autoSpaceDN/>
        <w:bidi w:val="0"/>
        <w:adjustRightInd/>
        <w:snapToGrid/>
        <w:spacing w:line="80" w:lineRule="atLeast"/>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（二） 国有资产占用情况说明。截至</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2021年</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12月31日，本部门共有车辆</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辆，单价50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以上通用设备</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台（套），单价100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以上专用设备</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台（套）。</w:t>
      </w:r>
    </w:p>
    <w:p>
      <w:pPr>
        <w:keepNext w:val="0"/>
        <w:keepLines w:val="0"/>
        <w:pageBreakBefore w:val="0"/>
        <w:widowControl w:val="0"/>
        <w:kinsoku/>
        <w:wordWrap/>
        <w:overflowPunct/>
        <w:topLinePunct w:val="0"/>
        <w:autoSpaceDE/>
        <w:autoSpaceDN/>
        <w:bidi w:val="0"/>
        <w:adjustRightInd/>
        <w:snapToGrid/>
        <w:spacing w:line="80" w:lineRule="atLeast"/>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（三） 政府采购支出情况说明。</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2021年</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本部门政府采购支出总额</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，其中：政府采购货物支出</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。主要用于采购</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日常办公用品</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p>
    <w:p>
      <w:pPr>
        <w:keepNext w:val="0"/>
        <w:keepLines w:val="0"/>
        <w:pageBreakBefore w:val="0"/>
        <w:widowControl w:val="0"/>
        <w:kinsoku/>
        <w:wordWrap/>
        <w:overflowPunct/>
        <w:topLinePunct w:val="0"/>
        <w:autoSpaceDE/>
        <w:autoSpaceDN/>
        <w:bidi w:val="0"/>
        <w:adjustRightInd/>
        <w:snapToGrid/>
        <w:spacing w:line="80" w:lineRule="atLeast"/>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（四）预算绩效管理情况说明。</w:t>
      </w:r>
    </w:p>
    <w:p>
      <w:pPr>
        <w:keepNext w:val="0"/>
        <w:keepLines w:val="0"/>
        <w:pageBreakBefore w:val="0"/>
        <w:widowControl w:val="0"/>
        <w:kinsoku/>
        <w:wordWrap/>
        <w:overflowPunct/>
        <w:topLinePunct w:val="0"/>
        <w:autoSpaceDE/>
        <w:autoSpaceDN/>
        <w:bidi w:val="0"/>
        <w:adjustRightInd/>
        <w:snapToGrid/>
        <w:spacing w:line="80" w:lineRule="atLeast"/>
        <w:ind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我单位无项目支出。</w:t>
      </w:r>
    </w:p>
    <w:p>
      <w:pPr>
        <w:keepNext w:val="0"/>
        <w:keepLines w:val="0"/>
        <w:pageBreakBefore w:val="0"/>
        <w:widowControl w:val="0"/>
        <w:kinsoku/>
        <w:wordWrap/>
        <w:overflowPunct/>
        <w:topLinePunct w:val="0"/>
        <w:autoSpaceDE/>
        <w:autoSpaceDN/>
        <w:bidi w:val="0"/>
        <w:adjustRightInd/>
        <w:snapToGrid/>
        <w:spacing w:line="80" w:lineRule="atLeast"/>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六、专业名词解释。</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（一）财政拨款收入：指本年度从本级财政部门取得的财政拨款，包括一般公共预算财政拨款和政府性基金预算财政拨款。</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（二）事业收入：指事业单位开展专业业务活动及其辅助活动取得的收入；事业单位收到的财政专户实际核拨的教育收费等资金在此反映。</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（三）经营收入：指事业单位在专业业务活动及其辅助活动之外开展非独立核算经营活动取得的收入。</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（六）年初结转和结余：指单位上年结转本年使用的基本支出结转、项目支出结转和结余、经营结余。不包括事业单位净资产项下的事业基金和专用基金。</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（八）年末结转和结余：指单位结转下年的基本支出结转、项目支出结转和结余、经营结余。不包括事业单位净资产项下的事业基金和专用基金。</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（十）项目支出：指在基本支出之外为完成特定行政任务和事业发展目标所发生的支出。</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（十一）经营支出：指事业单位在专业业务活动及其辅助活动之外开展非独立核算经营活动发生的支出。</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（十五）商品和服务支出（支出经济分类科目类级）：反映单位购买商品和服务的支出（不包括用于购置固定资产的支出、战略性和应急储备支出）。</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（十六）对个人和家庭的补助（支出经济分类科目类级）：反映用于对个人和家庭的补助支出。</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p>
    <w:p>
      <w:pPr>
        <w:keepNext w:val="0"/>
        <w:keepLines w:val="0"/>
        <w:pageBreakBefore w:val="0"/>
        <w:widowControl w:val="0"/>
        <w:shd w:val="clear" w:color="auto" w:fill="auto"/>
        <w:kinsoku/>
        <w:wordWrap/>
        <w:overflowPunct/>
        <w:topLinePunct w:val="0"/>
        <w:autoSpaceDE/>
        <w:autoSpaceDN/>
        <w:bidi w:val="0"/>
        <w:adjustRightInd/>
        <w:snapToGrid/>
        <w:spacing w:line="80" w:lineRule="atLeast"/>
        <w:ind w:firstLine="960" w:firstLineChars="300"/>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80" w:lineRule="atLeas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80" w:lineRule="atLeas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bookmarkStart w:id="3" w:name="_GoBack"/>
      <w:bookmarkEnd w:id="3"/>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TVjY2M3NDA4YTkyN2QwZWY0NmUzMjhkNDE4Yjk4ZjUifQ=="/>
  </w:docVars>
  <w:rsids>
    <w:rsidRoot w:val="00000000"/>
    <w:rsid w:val="0511788F"/>
    <w:rsid w:val="06AA1511"/>
    <w:rsid w:val="0A4C6688"/>
    <w:rsid w:val="0F2F360E"/>
    <w:rsid w:val="11D73FA4"/>
    <w:rsid w:val="171454C4"/>
    <w:rsid w:val="1739327C"/>
    <w:rsid w:val="19BA4320"/>
    <w:rsid w:val="1B205130"/>
    <w:rsid w:val="1C6A1FB4"/>
    <w:rsid w:val="1E712589"/>
    <w:rsid w:val="1F523B54"/>
    <w:rsid w:val="20AE7790"/>
    <w:rsid w:val="21D91B46"/>
    <w:rsid w:val="22C27607"/>
    <w:rsid w:val="25FD0C5D"/>
    <w:rsid w:val="26F73EEC"/>
    <w:rsid w:val="28FF4B8C"/>
    <w:rsid w:val="29C05E6C"/>
    <w:rsid w:val="2F990904"/>
    <w:rsid w:val="39F46F0A"/>
    <w:rsid w:val="3ABD5DEE"/>
    <w:rsid w:val="3BD710AD"/>
    <w:rsid w:val="41670196"/>
    <w:rsid w:val="42736B67"/>
    <w:rsid w:val="43D445BB"/>
    <w:rsid w:val="441B125D"/>
    <w:rsid w:val="46556C8F"/>
    <w:rsid w:val="4B60103E"/>
    <w:rsid w:val="4F1428B3"/>
    <w:rsid w:val="52515A39"/>
    <w:rsid w:val="537062B7"/>
    <w:rsid w:val="554151C3"/>
    <w:rsid w:val="57337E54"/>
    <w:rsid w:val="57D535F7"/>
    <w:rsid w:val="58806626"/>
    <w:rsid w:val="5C580B9F"/>
    <w:rsid w:val="60D720E0"/>
    <w:rsid w:val="62922058"/>
    <w:rsid w:val="64E10B5C"/>
    <w:rsid w:val="66D30FAF"/>
    <w:rsid w:val="6CEC12B1"/>
    <w:rsid w:val="6E0B5B34"/>
    <w:rsid w:val="720E4E8D"/>
    <w:rsid w:val="726D3C91"/>
    <w:rsid w:val="745D61E5"/>
    <w:rsid w:val="75720FA8"/>
    <w:rsid w:val="785A5C57"/>
    <w:rsid w:val="794C38BE"/>
    <w:rsid w:val="7C584EE5"/>
    <w:rsid w:val="7CDC31AB"/>
    <w:rsid w:val="7CF44998"/>
    <w:rsid w:val="7F604567"/>
    <w:rsid w:val="7FB801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2695</Words>
  <Characters>2844</Characters>
  <TotalTime>6</TotalTime>
  <ScaleCrop>false</ScaleCrop>
  <LinksUpToDate>false</LinksUpToDate>
  <CharactersWithSpaces>2864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2023-06-08T06:46:40Z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3FB965A942B84C0B8C0D4DECFF396933</vt:lpwstr>
  </property>
</Properties>
</file>