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sz w:val="52"/>
          <w:szCs w:val="52"/>
        </w:rPr>
      </w:pPr>
    </w:p>
    <w:p>
      <w:pPr>
        <w:jc w:val="center"/>
        <w:rPr>
          <w:rFonts w:ascii="楷体" w:hAnsi="楷体" w:eastAsia="楷体"/>
          <w:sz w:val="30"/>
          <w:szCs w:val="30"/>
        </w:rPr>
      </w:pPr>
      <w:r>
        <w:rPr>
          <w:rFonts w:hint="eastAsia" w:ascii="方正小标宋简体" w:eastAsia="方正小标宋简体"/>
          <w:sz w:val="72"/>
          <w:szCs w:val="72"/>
          <w:lang w:eastAsia="zh-CN"/>
        </w:rPr>
        <w:t>东乡县司法局</w:t>
      </w:r>
      <w:r>
        <w:rPr>
          <w:rFonts w:hint="eastAsia" w:ascii="方正小标宋简体" w:eastAsia="方正小标宋简体"/>
          <w:sz w:val="72"/>
          <w:szCs w:val="72"/>
        </w:rPr>
        <w:t>部门预算</w:t>
      </w:r>
    </w:p>
    <w:p>
      <w:pPr>
        <w:jc w:val="center"/>
        <w:rPr>
          <w:rFonts w:ascii="方正小标宋简体" w:eastAsia="方正小标宋简体"/>
          <w:sz w:val="48"/>
          <w:szCs w:val="48"/>
        </w:rPr>
      </w:pPr>
      <w:r>
        <w:rPr>
          <w:rFonts w:hint="eastAsia" w:ascii="方正小标宋简体" w:eastAsia="方正小标宋简体"/>
          <w:sz w:val="48"/>
          <w:szCs w:val="48"/>
        </w:rPr>
        <w:t>（2022年度）</w:t>
      </w:r>
    </w:p>
    <w:p>
      <w:pPr>
        <w:tabs>
          <w:tab w:val="left" w:pos="12150"/>
        </w:tabs>
        <w:jc w:val="left"/>
        <w:rPr>
          <w:rFonts w:ascii="方正小标宋简体" w:eastAsia="方正小标宋简体"/>
          <w:sz w:val="48"/>
          <w:szCs w:val="48"/>
        </w:rPr>
      </w:pPr>
      <w:r>
        <w:rPr>
          <w:rFonts w:ascii="方正小标宋简体" w:eastAsia="方正小标宋简体"/>
          <w:sz w:val="48"/>
          <w:szCs w:val="48"/>
        </w:rPr>
        <w:tab/>
      </w:r>
    </w:p>
    <w:p>
      <w:pPr>
        <w:jc w:val="center"/>
        <w:rPr>
          <w:rFonts w:ascii="方正小标宋简体" w:eastAsia="方正小标宋简体"/>
          <w:sz w:val="48"/>
          <w:szCs w:val="48"/>
        </w:rPr>
      </w:pPr>
    </w:p>
    <w:p>
      <w:pPr>
        <w:jc w:val="center"/>
        <w:rPr>
          <w:rFonts w:ascii="方正小标宋简体" w:eastAsia="方正小标宋简体"/>
          <w:sz w:val="48"/>
          <w:szCs w:val="48"/>
        </w:rPr>
      </w:pPr>
    </w:p>
    <w:p>
      <w:pPr>
        <w:jc w:val="center"/>
        <w:rPr>
          <w:rFonts w:ascii="方正小标宋简体" w:eastAsia="方正小标宋简体"/>
          <w:sz w:val="48"/>
          <w:szCs w:val="48"/>
        </w:rPr>
      </w:pPr>
    </w:p>
    <w:p>
      <w:pPr>
        <w:jc w:val="center"/>
        <w:rPr>
          <w:rFonts w:ascii="方正小标宋简体" w:eastAsia="方正小标宋简体"/>
          <w:sz w:val="48"/>
          <w:szCs w:val="48"/>
        </w:rPr>
      </w:pPr>
    </w:p>
    <w:p>
      <w:pPr>
        <w:jc w:val="center"/>
        <w:rPr>
          <w:rFonts w:ascii="方正小标宋简体" w:eastAsia="方正小标宋简体"/>
          <w:sz w:val="48"/>
          <w:szCs w:val="48"/>
        </w:rPr>
      </w:pPr>
    </w:p>
    <w:p>
      <w:pPr>
        <w:jc w:val="center"/>
        <w:rPr>
          <w:rFonts w:hint="eastAsia" w:ascii="方正小标宋简体" w:eastAsia="方正小标宋简体"/>
          <w:sz w:val="48"/>
          <w:szCs w:val="48"/>
        </w:rPr>
      </w:pPr>
      <w:r>
        <w:rPr>
          <w:rFonts w:hint="eastAsia" w:ascii="方正小标宋简体" w:eastAsia="方正小标宋简体"/>
          <w:sz w:val="48"/>
          <w:szCs w:val="48"/>
        </w:rPr>
        <w:t>2022年5月</w:t>
      </w:r>
    </w:p>
    <w:p>
      <w:pPr>
        <w:jc w:val="center"/>
        <w:rPr>
          <w:rFonts w:hint="eastAsia" w:ascii="方正小标宋简体" w:eastAsia="方正小标宋简体"/>
          <w:sz w:val="48"/>
          <w:szCs w:val="48"/>
        </w:rPr>
      </w:pPr>
    </w:p>
    <w:p>
      <w:pPr>
        <w:jc w:val="center"/>
        <w:rPr>
          <w:rFonts w:hint="eastAsia" w:ascii="方正小标宋简体" w:eastAsia="方正小标宋简体"/>
          <w:sz w:val="48"/>
          <w:szCs w:val="48"/>
        </w:rPr>
      </w:pPr>
    </w:p>
    <w:p>
      <w:pPr>
        <w:jc w:val="center"/>
        <w:rPr>
          <w:rFonts w:ascii="黑体" w:hAnsi="黑体" w:eastAsia="黑体"/>
          <w:sz w:val="48"/>
          <w:szCs w:val="48"/>
        </w:rPr>
      </w:pPr>
      <w:r>
        <w:rPr>
          <w:rFonts w:hint="eastAsia" w:ascii="黑体" w:hAnsi="黑体" w:eastAsia="黑体"/>
          <w:sz w:val="48"/>
          <w:szCs w:val="48"/>
        </w:rPr>
        <w:t>目    录</w:t>
      </w:r>
    </w:p>
    <w:p>
      <w:pPr>
        <w:rPr>
          <w:rFonts w:ascii="仿宋_GB2312" w:hAnsi="黑体" w:eastAsia="仿宋_GB2312"/>
          <w:sz w:val="32"/>
          <w:szCs w:val="32"/>
        </w:rPr>
      </w:pP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第一部分  部门概况</w:t>
      </w:r>
    </w:p>
    <w:p>
      <w:pPr>
        <w:spacing w:line="640" w:lineRule="exact"/>
        <w:ind w:firstLine="1564" w:firstLineChars="489"/>
        <w:rPr>
          <w:rFonts w:ascii="仿宋_GB2312" w:hAnsi="黑体" w:eastAsia="仿宋_GB2312"/>
          <w:sz w:val="32"/>
          <w:szCs w:val="32"/>
        </w:rPr>
      </w:pPr>
      <w:r>
        <w:rPr>
          <w:rFonts w:hint="eastAsia" w:ascii="仿宋_GB2312" w:hAnsi="黑体" w:eastAsia="仿宋_GB2312"/>
          <w:sz w:val="32"/>
          <w:szCs w:val="32"/>
        </w:rPr>
        <w:t>一、部门职责</w:t>
      </w:r>
    </w:p>
    <w:p>
      <w:pPr>
        <w:spacing w:line="640" w:lineRule="exact"/>
        <w:ind w:firstLine="1590" w:firstLineChars="497"/>
        <w:rPr>
          <w:rFonts w:ascii="仿宋_GB2312" w:hAnsi="黑体" w:eastAsia="仿宋_GB2312"/>
          <w:sz w:val="32"/>
          <w:szCs w:val="32"/>
        </w:rPr>
      </w:pPr>
      <w:r>
        <w:rPr>
          <w:rFonts w:hint="eastAsia" w:ascii="仿宋_GB2312" w:hAnsi="黑体" w:eastAsia="仿宋_GB2312"/>
          <w:sz w:val="32"/>
          <w:szCs w:val="32"/>
        </w:rPr>
        <w:t>二、机构设置</w:t>
      </w: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第二部分  2022年部门预算表格</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一、2022年部门收支总表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二、2022年部门收入总表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三、2022年部门支出总表</w:t>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四、2022年部门财政拨款收支总表</w:t>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五、2022年部门一般公共预算支出表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六、2022年部门政府性基金预算支出表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七、2022年部门预算经济分类和对应的政府预算经济分类基本支出预算明细表</w:t>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八、2022年部门预算经济分类和对应的政府预算经济分类项目支出预算明细表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九、2022年部门政府采购预算表</w:t>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十、2022年部门“三公”经费预算财政拨款情况表</w:t>
      </w:r>
      <w:r>
        <w:rPr>
          <w:rFonts w:hint="eastAsia" w:ascii="仿宋_GB2312" w:hAnsi="黑体" w:eastAsia="仿宋_GB2312"/>
          <w:sz w:val="32"/>
          <w:szCs w:val="32"/>
        </w:rPr>
        <w:tab/>
      </w: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第三部分  部门预算情况说明</w:t>
      </w:r>
    </w:p>
    <w:p>
      <w:pPr>
        <w:spacing w:line="640" w:lineRule="exact"/>
        <w:ind w:firstLine="1285" w:firstLineChars="400"/>
        <w:rPr>
          <w:rFonts w:ascii="仿宋_GB2312" w:hAnsi="黑体" w:eastAsia="仿宋_GB2312"/>
          <w:sz w:val="32"/>
          <w:szCs w:val="32"/>
        </w:rPr>
      </w:pPr>
      <w:r>
        <w:rPr>
          <w:rFonts w:hint="eastAsia" w:ascii="仿宋_GB2312" w:hAnsi="黑体" w:eastAsia="仿宋_GB2312"/>
          <w:b/>
          <w:sz w:val="32"/>
          <w:szCs w:val="32"/>
        </w:rPr>
        <w:t xml:space="preserve">  </w:t>
      </w:r>
      <w:r>
        <w:rPr>
          <w:rFonts w:hint="eastAsia" w:ascii="仿宋_GB2312" w:hAnsi="黑体" w:eastAsia="仿宋_GB2312"/>
          <w:sz w:val="32"/>
          <w:szCs w:val="32"/>
        </w:rPr>
        <w:t>一、部门预算总体说明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二、部门一般公共预算支出情况说明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三、部门一般公共预算基本支出情况说明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四、部门“三公”经费情况说明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五、部门机关运行经费及政府采购预算情况说明</w:t>
      </w: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第四部分  名词解释</w:t>
      </w: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52"/>
          <w:szCs w:val="52"/>
        </w:rPr>
      </w:pPr>
      <w:r>
        <w:rPr>
          <w:rFonts w:hint="eastAsia" w:ascii="仿宋_GB2312" w:hAnsi="黑体" w:eastAsia="仿宋_GB2312"/>
          <w:b/>
          <w:sz w:val="52"/>
          <w:szCs w:val="52"/>
        </w:rPr>
        <w:t>第一部分  部门概况</w:t>
      </w:r>
    </w:p>
    <w:p>
      <w:pPr>
        <w:spacing w:line="640" w:lineRule="exact"/>
        <w:rPr>
          <w:rFonts w:ascii="黑体" w:hAnsi="黑体" w:eastAsia="黑体"/>
          <w:sz w:val="32"/>
          <w:szCs w:val="32"/>
        </w:rPr>
      </w:pPr>
      <w:r>
        <w:rPr>
          <w:rFonts w:hint="eastAsia" w:ascii="仿宋_GB2312" w:hAnsi="黑体" w:eastAsia="仿宋_GB2312"/>
          <w:sz w:val="32"/>
          <w:szCs w:val="32"/>
        </w:rPr>
        <w:t xml:space="preserve">  </w:t>
      </w:r>
    </w:p>
    <w:p>
      <w:pPr>
        <w:numPr>
          <w:ilvl w:val="0"/>
          <w:numId w:val="1"/>
        </w:numPr>
        <w:spacing w:line="640" w:lineRule="exact"/>
        <w:rPr>
          <w:rFonts w:ascii="黑体" w:hAnsi="黑体" w:eastAsia="黑体"/>
          <w:sz w:val="32"/>
          <w:szCs w:val="32"/>
        </w:rPr>
      </w:pPr>
      <w:r>
        <w:rPr>
          <w:rFonts w:hint="eastAsia" w:ascii="黑体" w:hAnsi="黑体" w:eastAsia="黑体"/>
          <w:sz w:val="32"/>
          <w:szCs w:val="32"/>
        </w:rPr>
        <w:t>部门职责</w:t>
      </w:r>
    </w:p>
    <w:p>
      <w:pPr>
        <w:keepNext w:val="0"/>
        <w:keepLines w:val="0"/>
        <w:widowControl/>
        <w:suppressLineNumbers w:val="0"/>
        <w:ind w:firstLine="680" w:firstLineChars="200"/>
        <w:jc w:val="left"/>
      </w:pPr>
      <w:r>
        <w:rPr>
          <w:rFonts w:hint="eastAsia" w:ascii="仿宋" w:hAnsi="仿宋" w:eastAsia="仿宋" w:cs="仿宋"/>
          <w:color w:val="000000"/>
          <w:kern w:val="0"/>
          <w:sz w:val="34"/>
          <w:szCs w:val="34"/>
          <w:lang w:val="en-US" w:eastAsia="zh-CN" w:bidi="ar"/>
        </w:rPr>
        <w:t>（</w:t>
      </w:r>
      <w:r>
        <w:rPr>
          <w:rFonts w:ascii="仿宋" w:hAnsi="仿宋" w:eastAsia="仿宋" w:cs="仿宋"/>
          <w:color w:val="000000"/>
          <w:kern w:val="0"/>
          <w:sz w:val="34"/>
          <w:szCs w:val="34"/>
          <w:lang w:val="en-US" w:eastAsia="zh-CN" w:bidi="ar"/>
        </w:rPr>
        <w:t>一</w:t>
      </w:r>
      <w:r>
        <w:rPr>
          <w:rFonts w:hint="eastAsia" w:ascii="仿宋" w:hAnsi="仿宋" w:eastAsia="仿宋" w:cs="仿宋"/>
          <w:color w:val="000000"/>
          <w:kern w:val="0"/>
          <w:sz w:val="34"/>
          <w:szCs w:val="34"/>
          <w:lang w:val="en-US" w:eastAsia="zh-CN" w:bidi="ar"/>
        </w:rPr>
        <w:t>）</w:t>
      </w:r>
      <w:r>
        <w:rPr>
          <w:rFonts w:ascii="仿宋" w:hAnsi="仿宋" w:eastAsia="仿宋" w:cs="仿宋"/>
          <w:color w:val="000000"/>
          <w:kern w:val="0"/>
          <w:sz w:val="34"/>
          <w:szCs w:val="34"/>
          <w:lang w:val="en-US" w:eastAsia="zh-CN" w:bidi="ar"/>
        </w:rPr>
        <w:t xml:space="preserve">贯彻执行党和国家司法行政工作法律法规和有关方针政策,制定全县司法行政工作的中 </w:t>
      </w:r>
      <w:r>
        <w:rPr>
          <w:rFonts w:hint="eastAsia" w:ascii="仿宋" w:hAnsi="仿宋" w:eastAsia="仿宋" w:cs="仿宋"/>
          <w:color w:val="000000"/>
          <w:kern w:val="0"/>
          <w:sz w:val="34"/>
          <w:szCs w:val="34"/>
          <w:lang w:val="en-US" w:eastAsia="zh-CN" w:bidi="ar"/>
        </w:rPr>
        <w:t>长期规划和年度工作计划并监督实施。 (二)组织制定全县法制宣传和普及法律常识规划,指导 全县依法治理工作,监督实施普法规划。 (三)指导、监督管理全县律师、公证、法律顾问工作 ,综合管理社会法律服务机构。 (四)指导、监督管理全县法律援助工作。 (五)指导、监督全 县基层司法所建设和人民调解、基层法律服务、社区矫正、刑满释放人员帮教安置工作,配合有 关部门做好社会治安综合治理。 (六)组织协调全县国家司法考试工作。 (七)负责全县司法 行政系统服装和警车管理工作,指导,监督司法行政系统计划财务工作。 (八)指导全县司法行 政系统的思想政治工作、党的建设和队伍建设;负责局机关和基层司法所的机构编制和人事工作 ;按照干部管理权限,负责干部管理、考核;会同人事部门组织全县司法行政机关国家公务员的录 用考核工作。 (九)承办县委、县政府和省州司法厅局交办的其他事项。</w:t>
      </w:r>
    </w:p>
    <w:p>
      <w:pPr>
        <w:spacing w:line="640" w:lineRule="exact"/>
        <w:ind w:firstLine="645"/>
        <w:rPr>
          <w:rFonts w:ascii="黑体" w:hAnsi="黑体" w:eastAsia="黑体"/>
          <w:sz w:val="32"/>
          <w:szCs w:val="32"/>
        </w:rPr>
      </w:pPr>
      <w:r>
        <w:rPr>
          <w:rFonts w:hint="eastAsia" w:ascii="黑体" w:hAnsi="黑体" w:eastAsia="黑体"/>
          <w:sz w:val="32"/>
          <w:szCs w:val="32"/>
        </w:rPr>
        <w:t>二、机构设置</w:t>
      </w:r>
    </w:p>
    <w:p>
      <w:pPr>
        <w:keepNext w:val="0"/>
        <w:keepLines w:val="0"/>
        <w:widowControl/>
        <w:suppressLineNumbers w:val="0"/>
        <w:jc w:val="left"/>
      </w:pPr>
      <w:r>
        <w:rPr>
          <w:rFonts w:ascii="仿宋" w:hAnsi="仿宋" w:eastAsia="仿宋" w:cs="仿宋"/>
          <w:color w:val="000000"/>
          <w:kern w:val="0"/>
          <w:sz w:val="34"/>
          <w:szCs w:val="34"/>
          <w:lang w:val="en-US" w:eastAsia="zh-CN" w:bidi="ar"/>
        </w:rPr>
        <w:t xml:space="preserve">(一)办公室 (二)法制宣传股(东乡族自治县依法治县领导小组办公室) (三)律师公证工 </w:t>
      </w:r>
      <w:r>
        <w:rPr>
          <w:rFonts w:hint="eastAsia" w:ascii="仿宋" w:hAnsi="仿宋" w:eastAsia="仿宋" w:cs="仿宋"/>
          <w:color w:val="000000"/>
          <w:kern w:val="0"/>
          <w:sz w:val="34"/>
          <w:szCs w:val="34"/>
          <w:lang w:val="en-US" w:eastAsia="zh-CN" w:bidi="ar"/>
        </w:rPr>
        <w:t>作管理股 (四)基层工作股(东乡族自治县刑满释放人员安置帮教工作领导小组办公室) (五 )社区矫正工作股(东乡族自治县社区矫正工作领导小组办公室 (六)东乡县公证处</w:t>
      </w:r>
    </w:p>
    <w:p>
      <w:pPr>
        <w:spacing w:line="640" w:lineRule="exact"/>
        <w:jc w:val="center"/>
        <w:rPr>
          <w:rFonts w:ascii="仿宋_GB2312" w:hAnsi="黑体" w:eastAsia="仿宋_GB2312"/>
          <w:b/>
          <w:sz w:val="44"/>
          <w:szCs w:val="44"/>
        </w:rPr>
      </w:pPr>
    </w:p>
    <w:p>
      <w:pPr>
        <w:spacing w:line="640" w:lineRule="exact"/>
        <w:jc w:val="center"/>
        <w:rPr>
          <w:rFonts w:hint="eastAsia" w:ascii="仿宋_GB2312" w:hAnsi="黑体" w:eastAsia="仿宋_GB2312"/>
          <w:b/>
          <w:sz w:val="52"/>
          <w:szCs w:val="52"/>
        </w:rPr>
      </w:pPr>
    </w:p>
    <w:p>
      <w:pPr>
        <w:spacing w:line="640" w:lineRule="exact"/>
        <w:jc w:val="center"/>
        <w:rPr>
          <w:rFonts w:hint="eastAsia" w:ascii="仿宋_GB2312" w:hAnsi="黑体" w:eastAsia="仿宋_GB2312"/>
          <w:b/>
          <w:sz w:val="52"/>
          <w:szCs w:val="52"/>
        </w:rPr>
      </w:pPr>
    </w:p>
    <w:p>
      <w:pPr>
        <w:spacing w:line="640" w:lineRule="exact"/>
        <w:jc w:val="center"/>
        <w:rPr>
          <w:rFonts w:hint="eastAsia" w:ascii="仿宋_GB2312" w:hAnsi="黑体" w:eastAsia="仿宋_GB2312"/>
          <w:b/>
          <w:sz w:val="52"/>
          <w:szCs w:val="52"/>
        </w:rPr>
      </w:pPr>
    </w:p>
    <w:p>
      <w:pPr>
        <w:spacing w:line="640" w:lineRule="exact"/>
        <w:jc w:val="center"/>
        <w:rPr>
          <w:rFonts w:hint="eastAsia" w:ascii="仿宋_GB2312" w:hAnsi="黑体" w:eastAsia="仿宋_GB2312"/>
          <w:b/>
          <w:sz w:val="52"/>
          <w:szCs w:val="52"/>
        </w:rPr>
      </w:pPr>
    </w:p>
    <w:p>
      <w:pPr>
        <w:spacing w:line="640" w:lineRule="exact"/>
        <w:jc w:val="center"/>
        <w:rPr>
          <w:rFonts w:hint="eastAsia" w:ascii="仿宋_GB2312" w:hAnsi="黑体" w:eastAsia="仿宋_GB2312"/>
          <w:b/>
          <w:sz w:val="52"/>
          <w:szCs w:val="52"/>
        </w:rPr>
      </w:pPr>
    </w:p>
    <w:p>
      <w:pPr>
        <w:spacing w:line="640" w:lineRule="exact"/>
        <w:jc w:val="center"/>
        <w:rPr>
          <w:rFonts w:hint="eastAsia" w:ascii="仿宋_GB2312" w:hAnsi="黑体" w:eastAsia="仿宋_GB2312"/>
          <w:b/>
          <w:sz w:val="52"/>
          <w:szCs w:val="52"/>
        </w:rPr>
      </w:pPr>
    </w:p>
    <w:p>
      <w:pPr>
        <w:spacing w:line="640" w:lineRule="exact"/>
        <w:jc w:val="center"/>
        <w:rPr>
          <w:rFonts w:hint="eastAsia" w:ascii="仿宋_GB2312" w:hAnsi="黑体" w:eastAsia="仿宋_GB2312"/>
          <w:b/>
          <w:sz w:val="52"/>
          <w:szCs w:val="52"/>
        </w:rPr>
      </w:pPr>
    </w:p>
    <w:p>
      <w:pPr>
        <w:spacing w:line="640" w:lineRule="exact"/>
        <w:jc w:val="center"/>
        <w:rPr>
          <w:rFonts w:hint="eastAsia" w:ascii="仿宋_GB2312" w:hAnsi="黑体" w:eastAsia="仿宋_GB2312"/>
          <w:b/>
          <w:sz w:val="52"/>
          <w:szCs w:val="52"/>
        </w:rPr>
      </w:pPr>
    </w:p>
    <w:p>
      <w:pPr>
        <w:spacing w:line="640" w:lineRule="exact"/>
        <w:jc w:val="center"/>
        <w:rPr>
          <w:rFonts w:hint="eastAsia" w:ascii="仿宋_GB2312" w:hAnsi="黑体" w:eastAsia="仿宋_GB2312"/>
          <w:b/>
          <w:sz w:val="52"/>
          <w:szCs w:val="52"/>
        </w:rPr>
      </w:pPr>
    </w:p>
    <w:p>
      <w:pPr>
        <w:spacing w:line="640" w:lineRule="exact"/>
        <w:jc w:val="center"/>
        <w:rPr>
          <w:rFonts w:ascii="仿宋_GB2312" w:hAnsi="黑体" w:eastAsia="仿宋_GB2312"/>
          <w:sz w:val="32"/>
          <w:szCs w:val="32"/>
        </w:rPr>
      </w:pPr>
      <w:r>
        <w:rPr>
          <w:rFonts w:hint="eastAsia" w:ascii="仿宋_GB2312" w:hAnsi="黑体" w:eastAsia="仿宋_GB2312"/>
          <w:b/>
          <w:sz w:val="52"/>
          <w:szCs w:val="52"/>
        </w:rPr>
        <w:t xml:space="preserve">第二部分  2022年部门预算表格  </w:t>
      </w:r>
      <w:r>
        <w:rPr>
          <w:rFonts w:hint="eastAsia" w:ascii="仿宋_GB2312" w:hAnsi="黑体" w:eastAsia="仿宋_GB2312"/>
          <w:sz w:val="32"/>
          <w:szCs w:val="32"/>
        </w:rPr>
        <w:t xml:space="preserve">  </w:t>
      </w:r>
    </w:p>
    <w:p>
      <w:pPr>
        <w:spacing w:line="840" w:lineRule="exact"/>
        <w:jc w:val="left"/>
        <w:rPr>
          <w:rFonts w:hint="eastAsia" w:ascii="仿宋_GB2312" w:eastAsia="仿宋_GB2312"/>
          <w:color w:val="000000"/>
          <w:sz w:val="32"/>
          <w:szCs w:val="32"/>
        </w:rPr>
      </w:pPr>
    </w:p>
    <w:p>
      <w:pPr>
        <w:spacing w:line="840" w:lineRule="exact"/>
        <w:jc w:val="left"/>
        <w:rPr>
          <w:rFonts w:hint="eastAsia" w:ascii="仿宋_GB2312" w:eastAsia="仿宋_GB2312"/>
          <w:color w:val="000000"/>
          <w:sz w:val="32"/>
          <w:szCs w:val="32"/>
        </w:rPr>
      </w:pPr>
    </w:p>
    <w:p>
      <w:pPr>
        <w:spacing w:line="840" w:lineRule="exact"/>
        <w:jc w:val="left"/>
        <w:rPr>
          <w:rFonts w:hint="eastAsia" w:ascii="仿宋_GB2312" w:eastAsia="仿宋_GB2312"/>
          <w:color w:val="000000"/>
          <w:sz w:val="32"/>
          <w:szCs w:val="32"/>
        </w:rPr>
      </w:pPr>
    </w:p>
    <w:p>
      <w:pPr>
        <w:spacing w:line="840" w:lineRule="exact"/>
        <w:jc w:val="left"/>
        <w:rPr>
          <w:rFonts w:ascii="仿宋_GB2312" w:hAnsi="黑体" w:eastAsia="仿宋_GB2312"/>
          <w:b/>
          <w:sz w:val="52"/>
          <w:szCs w:val="52"/>
        </w:rPr>
      </w:pPr>
    </w:p>
    <w:p>
      <w:pPr>
        <w:spacing w:line="840" w:lineRule="exact"/>
        <w:jc w:val="center"/>
        <w:rPr>
          <w:rFonts w:hint="eastAsia" w:ascii="仿宋_GB2312" w:hAnsi="黑体" w:eastAsia="仿宋_GB2312"/>
          <w:b/>
          <w:sz w:val="52"/>
          <w:szCs w:val="52"/>
        </w:rPr>
      </w:pPr>
    </w:p>
    <w:p>
      <w:pPr>
        <w:spacing w:line="840" w:lineRule="exact"/>
        <w:jc w:val="center"/>
        <w:rPr>
          <w:rFonts w:ascii="仿宋_GB2312" w:hAnsi="黑体" w:eastAsia="仿宋_GB2312"/>
          <w:b/>
          <w:sz w:val="52"/>
          <w:szCs w:val="52"/>
        </w:rPr>
      </w:pPr>
    </w:p>
    <w:p>
      <w:pPr>
        <w:spacing w:line="840" w:lineRule="exact"/>
        <w:jc w:val="center"/>
        <w:rPr>
          <w:rFonts w:ascii="仿宋_GB2312" w:hAnsi="黑体" w:eastAsia="仿宋_GB2312"/>
          <w:sz w:val="32"/>
          <w:szCs w:val="32"/>
        </w:rPr>
      </w:pPr>
      <w:r>
        <w:rPr>
          <w:rFonts w:hint="eastAsia" w:ascii="仿宋_GB2312" w:hAnsi="黑体" w:eastAsia="仿宋_GB2312"/>
          <w:b/>
          <w:sz w:val="52"/>
          <w:szCs w:val="52"/>
        </w:rPr>
        <w:t>第三部分  部门预算情况说明</w:t>
      </w:r>
      <w:r>
        <w:rPr>
          <w:rFonts w:hint="eastAsia" w:ascii="仿宋_GB2312" w:hAnsi="黑体" w:eastAsia="仿宋_GB2312"/>
          <w:sz w:val="32"/>
          <w:szCs w:val="32"/>
        </w:rPr>
        <w:t xml:space="preserve">  </w:t>
      </w:r>
    </w:p>
    <w:p>
      <w:pPr>
        <w:spacing w:line="640" w:lineRule="exact"/>
        <w:ind w:firstLine="720" w:firstLineChars="200"/>
        <w:rPr>
          <w:rFonts w:ascii="黑体" w:hAnsi="黑体" w:eastAsia="黑体"/>
          <w:sz w:val="36"/>
          <w:szCs w:val="36"/>
          <w:highlight w:val="none"/>
        </w:rPr>
      </w:pPr>
      <w:r>
        <w:rPr>
          <w:rFonts w:hint="eastAsia" w:ascii="黑体" w:hAnsi="黑体" w:eastAsia="黑体"/>
          <w:sz w:val="36"/>
          <w:szCs w:val="36"/>
          <w:highlight w:val="none"/>
        </w:rPr>
        <w:t>一、部门预算总体说明</w:t>
      </w:r>
    </w:p>
    <w:p>
      <w:pPr>
        <w:keepNext w:val="0"/>
        <w:keepLines w:val="0"/>
        <w:widowControl/>
        <w:suppressLineNumbers w:val="0"/>
        <w:ind w:firstLine="640" w:firstLineChars="200"/>
        <w:jc w:val="left"/>
        <w:rPr>
          <w:rFonts w:hint="eastAsia" w:ascii="仿宋_GB2312" w:hAnsi="宋体" w:eastAsia="仿宋_GB2312"/>
          <w:sz w:val="32"/>
          <w:szCs w:val="32"/>
          <w:highlight w:val="none"/>
          <w:lang w:eastAsia="zh-CN"/>
        </w:rPr>
      </w:pPr>
      <w:r>
        <w:rPr>
          <w:rFonts w:hint="eastAsia" w:ascii="仿宋_GB2312" w:hAnsi="黑体" w:eastAsia="仿宋_GB2312"/>
          <w:sz w:val="32"/>
          <w:szCs w:val="32"/>
          <w:highlight w:val="none"/>
        </w:rPr>
        <w:t>2022年预算收入</w:t>
      </w:r>
      <w:r>
        <w:rPr>
          <w:rFonts w:hint="eastAsia" w:ascii="仿宋_GB2312" w:hAnsi="黑体" w:eastAsia="仿宋_GB2312"/>
          <w:sz w:val="32"/>
          <w:szCs w:val="32"/>
          <w:highlight w:val="none"/>
          <w:lang w:val="en-US" w:eastAsia="zh-CN"/>
        </w:rPr>
        <w:t>9786715.81</w:t>
      </w:r>
      <w:r>
        <w:rPr>
          <w:rFonts w:hint="eastAsia" w:ascii="仿宋_GB2312" w:hAnsi="黑体" w:eastAsia="仿宋_GB2312"/>
          <w:sz w:val="32"/>
          <w:szCs w:val="32"/>
          <w:highlight w:val="none"/>
        </w:rPr>
        <w:t>元，比上年预算</w:t>
      </w:r>
      <w:r>
        <w:rPr>
          <w:rFonts w:hint="eastAsia" w:ascii="仿宋_GB2312" w:hAnsi="黑体" w:eastAsia="仿宋_GB2312" w:cs="Times New Roman"/>
          <w:sz w:val="32"/>
          <w:szCs w:val="32"/>
          <w:highlight w:val="none"/>
          <w:lang w:val="en-US" w:eastAsia="zh-CN"/>
        </w:rPr>
        <w:t>上升</w:t>
      </w:r>
      <w:r>
        <w:rPr>
          <w:rFonts w:hint="eastAsia" w:ascii="仿宋_GB2312" w:hAnsi="黑体" w:eastAsia="仿宋_GB2312"/>
          <w:sz w:val="32"/>
          <w:szCs w:val="32"/>
          <w:highlight w:val="none"/>
          <w:lang w:val="en-US" w:eastAsia="zh-CN"/>
        </w:rPr>
        <w:t>1687338.21</w:t>
      </w:r>
      <w:r>
        <w:rPr>
          <w:rFonts w:hint="eastAsia" w:ascii="仿宋_GB2312" w:hAnsi="黑体" w:eastAsia="仿宋_GB2312"/>
          <w:sz w:val="32"/>
          <w:szCs w:val="32"/>
          <w:highlight w:val="none"/>
        </w:rPr>
        <w:t>元，其中：一般公共预算财政拨款收入</w:t>
      </w:r>
      <w:r>
        <w:rPr>
          <w:rFonts w:hint="eastAsia" w:ascii="仿宋_GB2312" w:hAnsi="黑体" w:eastAsia="仿宋_GB2312"/>
          <w:sz w:val="32"/>
          <w:szCs w:val="32"/>
          <w:highlight w:val="none"/>
          <w:lang w:val="en-US" w:eastAsia="zh-CN"/>
        </w:rPr>
        <w:t>9786715.81</w:t>
      </w:r>
      <w:r>
        <w:rPr>
          <w:rFonts w:hint="eastAsia" w:ascii="仿宋_GB2312" w:hAnsi="黑体" w:eastAsia="仿宋_GB2312"/>
          <w:sz w:val="32"/>
          <w:szCs w:val="32"/>
          <w:highlight w:val="none"/>
        </w:rPr>
        <w:t>元，政</w:t>
      </w:r>
      <w:r>
        <w:rPr>
          <w:rFonts w:hint="eastAsia" w:ascii="仿宋_GB2312" w:hAnsi="宋体" w:eastAsia="仿宋_GB2312"/>
          <w:sz w:val="32"/>
          <w:szCs w:val="32"/>
          <w:highlight w:val="none"/>
        </w:rPr>
        <w:t>府性基金预算财政拨款收入</w:t>
      </w:r>
      <w:r>
        <w:rPr>
          <w:rFonts w:hint="eastAsia" w:ascii="仿宋_GB2312" w:hAnsi="黑体" w:eastAsia="仿宋_GB2312"/>
          <w:sz w:val="32"/>
          <w:szCs w:val="32"/>
          <w:highlight w:val="none"/>
          <w:lang w:val="en-US" w:eastAsia="zh-CN"/>
        </w:rPr>
        <w:t>0</w:t>
      </w:r>
      <w:r>
        <w:rPr>
          <w:rFonts w:hint="eastAsia" w:ascii="仿宋_GB2312" w:hAnsi="宋体" w:eastAsia="仿宋_GB2312"/>
          <w:sz w:val="32"/>
          <w:szCs w:val="32"/>
          <w:highlight w:val="none"/>
        </w:rPr>
        <w:t>元。预算支出</w:t>
      </w:r>
      <w:r>
        <w:rPr>
          <w:rFonts w:hint="eastAsia" w:ascii="仿宋_GB2312" w:hAnsi="黑体" w:eastAsia="仿宋_GB2312"/>
          <w:sz w:val="32"/>
          <w:szCs w:val="32"/>
          <w:highlight w:val="none"/>
          <w:lang w:val="en-US" w:eastAsia="zh-CN"/>
        </w:rPr>
        <w:t>9786715.81</w:t>
      </w:r>
      <w:r>
        <w:rPr>
          <w:rFonts w:hint="eastAsia" w:ascii="仿宋_GB2312" w:hAnsi="宋体" w:eastAsia="仿宋_GB2312"/>
          <w:sz w:val="32"/>
          <w:szCs w:val="32"/>
          <w:highlight w:val="none"/>
        </w:rPr>
        <w:t>元，相应比上年预算数</w:t>
      </w:r>
      <w:r>
        <w:rPr>
          <w:rFonts w:hint="eastAsia" w:ascii="仿宋_GB2312" w:hAnsi="宋体" w:eastAsia="仿宋_GB2312"/>
          <w:sz w:val="32"/>
          <w:szCs w:val="32"/>
          <w:highlight w:val="none"/>
          <w:lang w:eastAsia="zh-CN"/>
        </w:rPr>
        <w:t>上升</w:t>
      </w:r>
      <w:r>
        <w:rPr>
          <w:rFonts w:hint="eastAsia" w:ascii="仿宋_GB2312" w:hAnsi="黑体" w:eastAsia="仿宋_GB2312"/>
          <w:sz w:val="32"/>
          <w:szCs w:val="32"/>
          <w:highlight w:val="none"/>
          <w:lang w:val="en-US" w:eastAsia="zh-CN"/>
        </w:rPr>
        <w:t>21.57%</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eastAsia="zh-CN"/>
        </w:rPr>
        <w:t>上升</w:t>
      </w:r>
      <w:r>
        <w:rPr>
          <w:rFonts w:hint="eastAsia" w:ascii="仿宋_GB2312" w:hAnsi="宋体" w:eastAsia="仿宋_GB2312"/>
          <w:sz w:val="32"/>
          <w:szCs w:val="32"/>
          <w:highlight w:val="none"/>
        </w:rPr>
        <w:t>的主要原因是：</w:t>
      </w:r>
      <w:r>
        <w:rPr>
          <w:rFonts w:hint="eastAsia" w:ascii="仿宋_GB2312" w:hAnsi="宋体" w:eastAsia="仿宋_GB2312"/>
          <w:sz w:val="32"/>
          <w:szCs w:val="32"/>
          <w:highlight w:val="none"/>
          <w:lang w:eastAsia="zh-CN"/>
        </w:rPr>
        <w:t>专项经费支出及人员经费增加。</w:t>
      </w:r>
    </w:p>
    <w:p>
      <w:pPr>
        <w:spacing w:line="640" w:lineRule="exact"/>
        <w:ind w:firstLine="640" w:firstLineChars="200"/>
        <w:rPr>
          <w:rFonts w:ascii="仿宋_GB2312" w:hAnsi="宋体" w:eastAsia="仿宋_GB2312"/>
          <w:sz w:val="32"/>
          <w:szCs w:val="32"/>
          <w:highlight w:val="none"/>
        </w:rPr>
      </w:pPr>
      <w:r>
        <w:rPr>
          <w:rFonts w:hint="eastAsia" w:ascii="仿宋_GB2312" w:hAnsi="宋体" w:eastAsia="仿宋_GB2312"/>
          <w:sz w:val="32"/>
          <w:szCs w:val="32"/>
          <w:highlight w:val="none"/>
        </w:rPr>
        <w:t>支出按功能分类科目安排为：</w:t>
      </w:r>
    </w:p>
    <w:p>
      <w:pPr>
        <w:spacing w:line="640" w:lineRule="exact"/>
        <w:ind w:firstLine="640" w:firstLineChars="200"/>
        <w:rPr>
          <w:rFonts w:hint="eastAsia" w:ascii="仿宋_GB2312" w:hAnsi="宋体" w:eastAsia="仿宋_GB2312"/>
          <w:sz w:val="32"/>
          <w:szCs w:val="32"/>
          <w:highlight w:val="none"/>
        </w:rPr>
      </w:pPr>
      <w:r>
        <w:rPr>
          <w:rFonts w:hint="eastAsia" w:ascii="仿宋_GB2312" w:hAnsi="宋体" w:eastAsia="仿宋_GB2312"/>
          <w:sz w:val="32"/>
          <w:szCs w:val="32"/>
          <w:highlight w:val="none"/>
        </w:rPr>
        <w:t>一般公共服务支出</w:t>
      </w:r>
      <w:r>
        <w:rPr>
          <w:rFonts w:hint="eastAsia" w:ascii="仿宋_GB2312" w:hAnsi="黑体" w:eastAsia="仿宋_GB2312"/>
          <w:sz w:val="32"/>
          <w:szCs w:val="32"/>
          <w:highlight w:val="none"/>
          <w:lang w:val="en-US" w:eastAsia="zh-CN"/>
        </w:rPr>
        <w:t>91212.6</w:t>
      </w:r>
      <w:r>
        <w:rPr>
          <w:rFonts w:hint="eastAsia" w:ascii="仿宋_GB2312" w:hAnsi="宋体" w:eastAsia="仿宋_GB2312"/>
          <w:sz w:val="32"/>
          <w:szCs w:val="32"/>
          <w:highlight w:val="none"/>
        </w:rPr>
        <w:t>元，比上年预算数</w:t>
      </w:r>
      <w:r>
        <w:rPr>
          <w:rFonts w:hint="eastAsia" w:ascii="仿宋_GB2312" w:hAnsi="宋体" w:eastAsia="仿宋_GB2312"/>
          <w:sz w:val="32"/>
          <w:szCs w:val="32"/>
          <w:highlight w:val="none"/>
          <w:lang w:eastAsia="zh-CN"/>
        </w:rPr>
        <w:t>增加</w:t>
      </w:r>
      <w:r>
        <w:rPr>
          <w:rFonts w:hint="eastAsia" w:ascii="仿宋_GB2312" w:hAnsi="宋体" w:eastAsia="仿宋_GB2312"/>
          <w:sz w:val="32"/>
          <w:szCs w:val="32"/>
          <w:highlight w:val="none"/>
          <w:lang w:val="en-US" w:eastAsia="zh-CN"/>
        </w:rPr>
        <w:t>60.34</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eastAsia="zh-CN"/>
        </w:rPr>
        <w:t>，</w:t>
      </w:r>
      <w:r>
        <w:rPr>
          <w:rFonts w:hint="eastAsia" w:ascii="仿宋_GB2312" w:hAnsi="宋体" w:eastAsia="仿宋_GB2312"/>
          <w:sz w:val="32"/>
          <w:szCs w:val="32"/>
          <w:highlight w:val="none"/>
        </w:rPr>
        <w:t>主要原因是：</w:t>
      </w:r>
      <w:r>
        <w:rPr>
          <w:rFonts w:hint="eastAsia" w:ascii="仿宋_GB2312" w:hAnsi="宋体" w:eastAsia="仿宋_GB2312"/>
          <w:sz w:val="32"/>
          <w:szCs w:val="32"/>
          <w:highlight w:val="none"/>
          <w:lang w:eastAsia="zh-CN"/>
        </w:rPr>
        <w:t>人员经费增加工会会费增加</w:t>
      </w:r>
      <w:r>
        <w:rPr>
          <w:rFonts w:hint="eastAsia" w:ascii="仿宋_GB2312" w:hAnsi="宋体" w:eastAsia="仿宋_GB2312"/>
          <w:sz w:val="32"/>
          <w:szCs w:val="32"/>
          <w:highlight w:val="none"/>
        </w:rPr>
        <w:t>。</w:t>
      </w:r>
    </w:p>
    <w:p>
      <w:pPr>
        <w:spacing w:line="640" w:lineRule="exact"/>
        <w:ind w:firstLine="640" w:firstLineChars="200"/>
        <w:rPr>
          <w:rFonts w:hint="eastAsia" w:ascii="仿宋_GB2312" w:hAnsi="宋体" w:eastAsia="仿宋_GB2312"/>
          <w:sz w:val="32"/>
          <w:szCs w:val="32"/>
          <w:highlight w:val="none"/>
          <w:lang w:eastAsia="zh-CN"/>
        </w:rPr>
      </w:pPr>
      <w:r>
        <w:rPr>
          <w:rFonts w:hint="eastAsia" w:ascii="仿宋_GB2312" w:hAnsi="宋体" w:eastAsia="仿宋_GB2312" w:cs="Times New Roman"/>
          <w:sz w:val="32"/>
          <w:szCs w:val="32"/>
          <w:highlight w:val="none"/>
        </w:rPr>
        <w:t>公共安全支出8106270</w:t>
      </w:r>
      <w:r>
        <w:rPr>
          <w:rFonts w:hint="eastAsia" w:ascii="仿宋_GB2312" w:hAnsi="宋体" w:eastAsia="仿宋_GB2312" w:cs="Times New Roman"/>
          <w:sz w:val="32"/>
          <w:szCs w:val="32"/>
          <w:highlight w:val="none"/>
          <w:lang w:val="en-US" w:eastAsia="zh-CN"/>
        </w:rPr>
        <w:t>.00</w:t>
      </w:r>
      <w:r>
        <w:rPr>
          <w:rFonts w:hint="eastAsia" w:ascii="仿宋_GB2312" w:hAnsi="宋体" w:eastAsia="仿宋_GB2312" w:cs="Times New Roman"/>
          <w:sz w:val="32"/>
          <w:szCs w:val="32"/>
          <w:highlight w:val="none"/>
          <w:lang w:eastAsia="zh-CN"/>
        </w:rPr>
        <w:t>元，</w:t>
      </w:r>
      <w:r>
        <w:rPr>
          <w:rFonts w:hint="eastAsia" w:ascii="仿宋_GB2312" w:hAnsi="宋体" w:eastAsia="仿宋_GB2312"/>
          <w:sz w:val="32"/>
          <w:szCs w:val="32"/>
          <w:highlight w:val="none"/>
        </w:rPr>
        <w:t>比上年预算数</w:t>
      </w:r>
      <w:r>
        <w:rPr>
          <w:rFonts w:hint="eastAsia" w:ascii="仿宋_GB2312" w:hAnsi="宋体" w:eastAsia="仿宋_GB2312"/>
          <w:sz w:val="32"/>
          <w:szCs w:val="32"/>
          <w:highlight w:val="none"/>
          <w:lang w:eastAsia="zh-CN"/>
        </w:rPr>
        <w:t>增加</w:t>
      </w:r>
      <w:r>
        <w:rPr>
          <w:rFonts w:hint="eastAsia" w:ascii="仿宋_GB2312" w:hAnsi="宋体" w:eastAsia="仿宋_GB2312"/>
          <w:sz w:val="32"/>
          <w:szCs w:val="32"/>
          <w:highlight w:val="none"/>
          <w:lang w:val="en-US" w:eastAsia="zh-CN"/>
        </w:rPr>
        <w:t>11.66</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eastAsia="zh-CN"/>
        </w:rPr>
        <w:t>，</w:t>
      </w:r>
      <w:r>
        <w:rPr>
          <w:rFonts w:hint="eastAsia" w:ascii="仿宋_GB2312" w:hAnsi="宋体" w:eastAsia="仿宋_GB2312"/>
          <w:sz w:val="32"/>
          <w:szCs w:val="32"/>
          <w:highlight w:val="none"/>
        </w:rPr>
        <w:t>主要原因是：</w:t>
      </w:r>
      <w:r>
        <w:rPr>
          <w:rFonts w:hint="eastAsia" w:ascii="仿宋_GB2312" w:hAnsi="宋体" w:eastAsia="仿宋_GB2312"/>
          <w:sz w:val="32"/>
          <w:szCs w:val="32"/>
          <w:highlight w:val="none"/>
          <w:lang w:eastAsia="zh-CN"/>
        </w:rPr>
        <w:t>专项经费开支支出增加</w:t>
      </w:r>
      <w:r>
        <w:rPr>
          <w:rFonts w:hint="eastAsia" w:ascii="仿宋_GB2312" w:hAnsi="宋体" w:eastAsia="仿宋_GB2312"/>
          <w:sz w:val="32"/>
          <w:szCs w:val="32"/>
          <w:highlight w:val="none"/>
        </w:rPr>
        <w:t>。</w:t>
      </w:r>
    </w:p>
    <w:p>
      <w:pPr>
        <w:spacing w:line="640" w:lineRule="exact"/>
        <w:ind w:firstLine="640" w:firstLineChars="200"/>
        <w:rPr>
          <w:rFonts w:hint="eastAsia" w:ascii="仿宋_GB2312" w:hAnsi="宋体" w:eastAsia="仿宋_GB2312"/>
          <w:sz w:val="32"/>
          <w:szCs w:val="32"/>
          <w:highlight w:val="none"/>
          <w:lang w:eastAsia="zh-CN"/>
        </w:rPr>
      </w:pPr>
      <w:r>
        <w:rPr>
          <w:rFonts w:hint="eastAsia" w:ascii="仿宋_GB2312" w:hAnsi="宋体" w:eastAsia="仿宋_GB2312"/>
          <w:sz w:val="32"/>
          <w:szCs w:val="32"/>
          <w:highlight w:val="none"/>
        </w:rPr>
        <w:t>社会保障和就业支出</w:t>
      </w:r>
      <w:r>
        <w:rPr>
          <w:rFonts w:hint="eastAsia" w:ascii="仿宋_GB2312" w:hAnsi="黑体" w:eastAsia="仿宋_GB2312"/>
          <w:sz w:val="32"/>
          <w:szCs w:val="32"/>
          <w:highlight w:val="none"/>
        </w:rPr>
        <w:t>738821.26元</w:t>
      </w:r>
      <w:r>
        <w:rPr>
          <w:rFonts w:hint="eastAsia" w:ascii="仿宋_GB2312" w:hAnsi="黑体" w:eastAsia="仿宋_GB2312"/>
          <w:sz w:val="32"/>
          <w:szCs w:val="32"/>
          <w:highlight w:val="none"/>
          <w:lang w:eastAsia="zh-CN"/>
        </w:rPr>
        <w:t>，</w:t>
      </w:r>
      <w:r>
        <w:rPr>
          <w:rFonts w:hint="eastAsia" w:ascii="仿宋_GB2312" w:hAnsi="宋体" w:eastAsia="仿宋_GB2312"/>
          <w:sz w:val="32"/>
          <w:szCs w:val="32"/>
          <w:highlight w:val="none"/>
        </w:rPr>
        <w:t>比上年预算数</w:t>
      </w:r>
      <w:r>
        <w:rPr>
          <w:rFonts w:hint="eastAsia" w:ascii="仿宋_GB2312" w:hAnsi="宋体" w:eastAsia="仿宋_GB2312"/>
          <w:sz w:val="32"/>
          <w:szCs w:val="32"/>
          <w:highlight w:val="none"/>
          <w:lang w:eastAsia="zh-CN"/>
        </w:rPr>
        <w:t>增加</w:t>
      </w:r>
      <w:r>
        <w:rPr>
          <w:rFonts w:hint="eastAsia" w:ascii="仿宋_GB2312" w:hAnsi="宋体" w:eastAsia="仿宋_GB2312"/>
          <w:sz w:val="32"/>
          <w:szCs w:val="32"/>
          <w:highlight w:val="none"/>
          <w:lang w:val="en-US" w:eastAsia="zh-CN"/>
        </w:rPr>
        <w:t>0.63</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eastAsia="zh-CN"/>
        </w:rPr>
        <w:t>，</w:t>
      </w:r>
      <w:r>
        <w:rPr>
          <w:rFonts w:hint="eastAsia" w:ascii="仿宋_GB2312" w:hAnsi="宋体" w:eastAsia="仿宋_GB2312"/>
          <w:sz w:val="32"/>
          <w:szCs w:val="32"/>
          <w:highlight w:val="none"/>
        </w:rPr>
        <w:t>主要原因是：</w:t>
      </w:r>
      <w:r>
        <w:rPr>
          <w:rFonts w:hint="eastAsia" w:ascii="仿宋_GB2312" w:hAnsi="宋体" w:eastAsia="仿宋_GB2312"/>
          <w:sz w:val="32"/>
          <w:szCs w:val="32"/>
          <w:highlight w:val="none"/>
          <w:lang w:eastAsia="zh-CN"/>
        </w:rPr>
        <w:t>人员变动。</w:t>
      </w:r>
    </w:p>
    <w:p>
      <w:pPr>
        <w:spacing w:line="640" w:lineRule="exact"/>
        <w:ind w:firstLine="640" w:firstLineChars="200"/>
        <w:rPr>
          <w:rFonts w:hint="eastAsia" w:ascii="仿宋_GB2312" w:hAnsi="宋体" w:eastAsia="仿宋_GB2312" w:cs="Times New Roman"/>
          <w:sz w:val="32"/>
          <w:szCs w:val="32"/>
          <w:highlight w:val="none"/>
          <w:lang w:val="en-US" w:eastAsia="zh-CN"/>
        </w:rPr>
      </w:pPr>
      <w:r>
        <w:rPr>
          <w:rFonts w:hint="default" w:ascii="仿宋_GB2312" w:hAnsi="宋体" w:eastAsia="仿宋_GB2312" w:cs="Times New Roman"/>
          <w:sz w:val="32"/>
          <w:szCs w:val="32"/>
          <w:highlight w:val="none"/>
          <w:lang w:val="en-US" w:eastAsia="zh-CN"/>
        </w:rPr>
        <w:t>卫生健康支出303136.95</w:t>
      </w:r>
      <w:r>
        <w:rPr>
          <w:rFonts w:hint="eastAsia" w:ascii="仿宋_GB2312" w:hAnsi="黑体" w:eastAsia="仿宋_GB2312"/>
          <w:sz w:val="32"/>
          <w:szCs w:val="32"/>
          <w:highlight w:val="none"/>
        </w:rPr>
        <w:t>元</w:t>
      </w:r>
      <w:r>
        <w:rPr>
          <w:rFonts w:hint="eastAsia" w:ascii="仿宋_GB2312" w:hAnsi="宋体" w:eastAsia="仿宋_GB2312" w:cs="Times New Roman"/>
          <w:sz w:val="32"/>
          <w:szCs w:val="32"/>
          <w:highlight w:val="none"/>
          <w:lang w:val="en-US" w:eastAsia="zh-CN"/>
        </w:rPr>
        <w:t>，</w:t>
      </w:r>
      <w:r>
        <w:rPr>
          <w:rFonts w:hint="eastAsia" w:ascii="仿宋_GB2312" w:hAnsi="宋体" w:eastAsia="仿宋_GB2312"/>
          <w:sz w:val="32"/>
          <w:szCs w:val="32"/>
          <w:highlight w:val="none"/>
        </w:rPr>
        <w:t>比上年预算数</w:t>
      </w:r>
      <w:r>
        <w:rPr>
          <w:rFonts w:hint="eastAsia" w:ascii="仿宋_GB2312" w:hAnsi="宋体" w:eastAsia="仿宋_GB2312"/>
          <w:sz w:val="32"/>
          <w:szCs w:val="32"/>
          <w:highlight w:val="none"/>
          <w:lang w:eastAsia="zh-CN"/>
        </w:rPr>
        <w:t>增加</w:t>
      </w:r>
      <w:r>
        <w:rPr>
          <w:rFonts w:hint="eastAsia" w:ascii="仿宋_GB2312" w:hAnsi="宋体" w:eastAsia="仿宋_GB2312"/>
          <w:sz w:val="32"/>
          <w:szCs w:val="32"/>
          <w:highlight w:val="none"/>
          <w:lang w:val="en-US" w:eastAsia="zh-CN"/>
        </w:rPr>
        <w:t>100</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eastAsia="zh-CN"/>
        </w:rPr>
        <w:t>，</w:t>
      </w:r>
      <w:r>
        <w:rPr>
          <w:rFonts w:hint="eastAsia" w:ascii="仿宋_GB2312" w:hAnsi="宋体" w:eastAsia="仿宋_GB2312"/>
          <w:sz w:val="32"/>
          <w:szCs w:val="32"/>
          <w:highlight w:val="none"/>
        </w:rPr>
        <w:t>主要原因是：</w:t>
      </w:r>
      <w:r>
        <w:rPr>
          <w:rFonts w:hint="eastAsia" w:ascii="仿宋_GB2312" w:hAnsi="宋体" w:eastAsia="仿宋_GB2312"/>
          <w:sz w:val="32"/>
          <w:szCs w:val="32"/>
          <w:highlight w:val="none"/>
          <w:lang w:eastAsia="zh-CN"/>
        </w:rPr>
        <w:t>上年无此项对比</w:t>
      </w:r>
      <w:r>
        <w:rPr>
          <w:rFonts w:hint="eastAsia" w:ascii="仿宋_GB2312" w:hAnsi="宋体" w:eastAsia="仿宋_GB2312"/>
          <w:sz w:val="32"/>
          <w:szCs w:val="32"/>
          <w:highlight w:val="none"/>
        </w:rPr>
        <w:t>。</w:t>
      </w:r>
    </w:p>
    <w:p>
      <w:pPr>
        <w:spacing w:line="640" w:lineRule="exact"/>
        <w:ind w:firstLine="640" w:firstLineChars="200"/>
        <w:rPr>
          <w:rFonts w:hint="eastAsia" w:ascii="仿宋_GB2312" w:hAnsi="黑体" w:eastAsia="仿宋_GB2312"/>
          <w:sz w:val="32"/>
          <w:szCs w:val="32"/>
          <w:highlight w:val="none"/>
          <w:lang w:eastAsia="zh-CN"/>
        </w:rPr>
      </w:pPr>
      <w:r>
        <w:rPr>
          <w:rFonts w:hint="eastAsia" w:ascii="仿宋_GB2312" w:hAnsi="宋体" w:eastAsia="仿宋_GB2312" w:cs="Times New Roman"/>
          <w:sz w:val="32"/>
          <w:szCs w:val="32"/>
          <w:highlight w:val="none"/>
          <w:lang w:val="en-US" w:eastAsia="zh-CN"/>
        </w:rPr>
        <w:t>住房保障支出547275.00</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lang w:eastAsia="zh-CN"/>
        </w:rPr>
        <w:t>，</w:t>
      </w:r>
      <w:r>
        <w:rPr>
          <w:rFonts w:hint="eastAsia" w:ascii="仿宋_GB2312" w:hAnsi="宋体" w:eastAsia="仿宋_GB2312"/>
          <w:sz w:val="32"/>
          <w:szCs w:val="32"/>
          <w:highlight w:val="none"/>
        </w:rPr>
        <w:t>比上年预算数</w:t>
      </w:r>
      <w:r>
        <w:rPr>
          <w:rFonts w:hint="eastAsia" w:ascii="仿宋_GB2312" w:hAnsi="宋体" w:eastAsia="仿宋_GB2312"/>
          <w:sz w:val="32"/>
          <w:szCs w:val="32"/>
          <w:highlight w:val="none"/>
          <w:lang w:eastAsia="zh-CN"/>
        </w:rPr>
        <w:t>增加</w:t>
      </w:r>
      <w:r>
        <w:rPr>
          <w:rFonts w:hint="eastAsia" w:ascii="仿宋_GB2312" w:hAnsi="宋体" w:eastAsia="仿宋_GB2312"/>
          <w:sz w:val="32"/>
          <w:szCs w:val="32"/>
          <w:highlight w:val="none"/>
          <w:lang w:val="en-US" w:eastAsia="zh-CN"/>
        </w:rPr>
        <w:t>100</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eastAsia="zh-CN"/>
        </w:rPr>
        <w:t>，</w:t>
      </w:r>
      <w:r>
        <w:rPr>
          <w:rFonts w:hint="eastAsia" w:ascii="仿宋_GB2312" w:hAnsi="宋体" w:eastAsia="仿宋_GB2312"/>
          <w:sz w:val="32"/>
          <w:szCs w:val="32"/>
          <w:highlight w:val="none"/>
        </w:rPr>
        <w:t>主要原因是：</w:t>
      </w:r>
      <w:r>
        <w:rPr>
          <w:rFonts w:hint="eastAsia" w:ascii="仿宋_GB2312" w:hAnsi="宋体" w:eastAsia="仿宋_GB2312"/>
          <w:sz w:val="32"/>
          <w:szCs w:val="32"/>
          <w:highlight w:val="none"/>
          <w:lang w:eastAsia="zh-CN"/>
        </w:rPr>
        <w:t>上年无此项对比</w:t>
      </w:r>
      <w:r>
        <w:rPr>
          <w:rFonts w:hint="eastAsia" w:ascii="仿宋_GB2312" w:hAnsi="宋体" w:eastAsia="仿宋_GB2312"/>
          <w:sz w:val="32"/>
          <w:szCs w:val="32"/>
          <w:highlight w:val="none"/>
        </w:rPr>
        <w:t>。</w:t>
      </w:r>
    </w:p>
    <w:p>
      <w:pPr>
        <w:spacing w:line="640" w:lineRule="exact"/>
        <w:ind w:firstLine="640" w:firstLineChars="200"/>
        <w:rPr>
          <w:rFonts w:ascii="仿宋_GB2312" w:hAnsi="黑体" w:eastAsia="仿宋_GB2312"/>
          <w:color w:val="FF0000"/>
          <w:sz w:val="32"/>
          <w:szCs w:val="32"/>
          <w:highlight w:val="none"/>
        </w:rPr>
      </w:pPr>
      <w:r>
        <w:rPr>
          <w:rFonts w:hint="eastAsia" w:ascii="黑体" w:hAnsi="黑体" w:eastAsia="黑体"/>
          <w:sz w:val="32"/>
          <w:szCs w:val="32"/>
          <w:highlight w:val="none"/>
        </w:rPr>
        <w:t>二、部门一般公共预算支出情况说明</w:t>
      </w:r>
    </w:p>
    <w:p>
      <w:pPr>
        <w:spacing w:line="640" w:lineRule="exact"/>
        <w:ind w:firstLine="643" w:firstLineChars="200"/>
        <w:rPr>
          <w:rFonts w:hint="eastAsia" w:ascii="仿宋_GB2312" w:hAnsi="宋体" w:eastAsia="仿宋_GB2312"/>
          <w:sz w:val="32"/>
          <w:szCs w:val="32"/>
          <w:highlight w:val="none"/>
        </w:rPr>
      </w:pPr>
      <w:r>
        <w:rPr>
          <w:rFonts w:hint="eastAsia" w:ascii="楷体_GB2312" w:hAnsi="黑体" w:eastAsia="楷体_GB2312"/>
          <w:b/>
          <w:sz w:val="32"/>
          <w:szCs w:val="32"/>
          <w:highlight w:val="none"/>
        </w:rPr>
        <w:t>（一）一般公共服务支出</w:t>
      </w:r>
      <w:r>
        <w:rPr>
          <w:rFonts w:hint="eastAsia" w:ascii="楷体_GB2312" w:hAnsi="黑体" w:eastAsia="楷体_GB2312"/>
          <w:b/>
          <w:sz w:val="32"/>
          <w:szCs w:val="32"/>
          <w:highlight w:val="none"/>
          <w:lang w:val="en-US" w:eastAsia="zh-CN"/>
        </w:rPr>
        <w:t xml:space="preserve">（类）群众团体事务（项） </w:t>
      </w:r>
      <w:r>
        <w:rPr>
          <w:rFonts w:hint="eastAsia" w:ascii="仿宋_GB2312" w:hAnsi="黑体" w:eastAsia="仿宋_GB2312"/>
          <w:sz w:val="32"/>
          <w:szCs w:val="32"/>
          <w:highlight w:val="none"/>
        </w:rPr>
        <w:t>2022年预算支出91212.6元，比上年预算数</w:t>
      </w:r>
      <w:r>
        <w:rPr>
          <w:rFonts w:hint="eastAsia" w:ascii="仿宋_GB2312" w:hAnsi="宋体" w:eastAsia="仿宋_GB2312"/>
          <w:sz w:val="32"/>
          <w:szCs w:val="32"/>
          <w:highlight w:val="none"/>
          <w:lang w:eastAsia="zh-CN"/>
        </w:rPr>
        <w:t>增加</w:t>
      </w:r>
      <w:r>
        <w:rPr>
          <w:rFonts w:hint="eastAsia" w:ascii="仿宋_GB2312" w:hAnsi="宋体" w:eastAsia="仿宋_GB2312"/>
          <w:sz w:val="32"/>
          <w:szCs w:val="32"/>
          <w:highlight w:val="none"/>
          <w:lang w:val="en-US" w:eastAsia="zh-CN"/>
        </w:rPr>
        <w:t>60.23</w:t>
      </w:r>
      <w:r>
        <w:rPr>
          <w:rFonts w:hint="eastAsia" w:ascii="仿宋_GB2312" w:hAnsi="宋体" w:eastAsia="仿宋_GB2312"/>
          <w:sz w:val="32"/>
          <w:szCs w:val="32"/>
          <w:highlight w:val="none"/>
        </w:rPr>
        <w:t>%</w:t>
      </w:r>
      <w:r>
        <w:rPr>
          <w:rFonts w:hint="eastAsia" w:ascii="仿宋_GB2312" w:hAnsi="黑体" w:eastAsia="仿宋_GB2312"/>
          <w:sz w:val="32"/>
          <w:szCs w:val="32"/>
          <w:highlight w:val="none"/>
        </w:rPr>
        <w:t>。其中：工会事务（项）2022年预算支出91212.6元，比上年预算数</w:t>
      </w:r>
      <w:r>
        <w:rPr>
          <w:rFonts w:hint="eastAsia" w:ascii="仿宋_GB2312" w:hAnsi="宋体" w:eastAsia="仿宋_GB2312"/>
          <w:sz w:val="32"/>
          <w:szCs w:val="32"/>
          <w:highlight w:val="none"/>
          <w:lang w:eastAsia="zh-CN"/>
        </w:rPr>
        <w:t>增长</w:t>
      </w:r>
      <w:r>
        <w:rPr>
          <w:rFonts w:hint="eastAsia" w:ascii="仿宋_GB2312" w:hAnsi="宋体" w:eastAsia="仿宋_GB2312"/>
          <w:sz w:val="32"/>
          <w:szCs w:val="32"/>
          <w:highlight w:val="none"/>
          <w:lang w:val="en-US" w:eastAsia="zh-CN"/>
        </w:rPr>
        <w:t>60.34</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eastAsia="zh-CN"/>
        </w:rPr>
        <w:t>，</w:t>
      </w:r>
      <w:r>
        <w:rPr>
          <w:rFonts w:hint="eastAsia" w:ascii="仿宋_GB2312" w:hAnsi="宋体" w:eastAsia="仿宋_GB2312"/>
          <w:sz w:val="32"/>
          <w:szCs w:val="32"/>
          <w:highlight w:val="none"/>
        </w:rPr>
        <w:t>主要原因是：</w:t>
      </w:r>
      <w:r>
        <w:rPr>
          <w:rFonts w:hint="eastAsia" w:ascii="仿宋_GB2312" w:hAnsi="宋体" w:eastAsia="仿宋_GB2312"/>
          <w:sz w:val="32"/>
          <w:szCs w:val="32"/>
          <w:highlight w:val="none"/>
          <w:lang w:eastAsia="zh-CN"/>
        </w:rPr>
        <w:t>人员经费增加工会会费增加</w:t>
      </w:r>
      <w:r>
        <w:rPr>
          <w:rFonts w:hint="eastAsia" w:ascii="仿宋_GB2312" w:hAnsi="宋体" w:eastAsia="仿宋_GB2312"/>
          <w:sz w:val="32"/>
          <w:szCs w:val="32"/>
          <w:highlight w:val="none"/>
        </w:rPr>
        <w:t>。</w:t>
      </w:r>
    </w:p>
    <w:p>
      <w:pPr>
        <w:spacing w:line="640" w:lineRule="exact"/>
        <w:ind w:firstLine="643" w:firstLineChars="200"/>
        <w:rPr>
          <w:rFonts w:hint="default" w:ascii="仿宋_GB2312" w:hAnsi="黑体" w:eastAsia="仿宋_GB2312"/>
          <w:sz w:val="32"/>
          <w:szCs w:val="32"/>
          <w:highlight w:val="none"/>
          <w:lang w:val="en-US" w:eastAsia="zh-CN"/>
        </w:rPr>
      </w:pPr>
      <w:r>
        <w:rPr>
          <w:rFonts w:hint="eastAsia" w:ascii="楷体_GB2312" w:hAnsi="黑体" w:eastAsia="楷体_GB2312"/>
          <w:b/>
          <w:sz w:val="32"/>
          <w:szCs w:val="32"/>
          <w:highlight w:val="none"/>
          <w:lang w:eastAsia="zh-CN"/>
        </w:rPr>
        <w:t>（二）</w:t>
      </w:r>
      <w:r>
        <w:rPr>
          <w:rFonts w:hint="eastAsia" w:ascii="楷体_GB2312" w:hAnsi="黑体" w:eastAsia="楷体_GB2312"/>
          <w:b/>
          <w:sz w:val="32"/>
          <w:szCs w:val="32"/>
          <w:highlight w:val="none"/>
        </w:rPr>
        <w:t>公共安全支出（类）</w:t>
      </w:r>
      <w:r>
        <w:rPr>
          <w:rFonts w:hint="eastAsia" w:ascii="楷体_GB2312" w:hAnsi="黑体" w:eastAsia="楷体_GB2312"/>
          <w:b/>
          <w:sz w:val="32"/>
          <w:szCs w:val="32"/>
          <w:highlight w:val="none"/>
          <w:lang w:val="en-US" w:eastAsia="zh-CN"/>
        </w:rPr>
        <w:t>司法（款）</w:t>
      </w:r>
      <w:r>
        <w:rPr>
          <w:rFonts w:hint="eastAsia" w:ascii="仿宋_GB2312" w:hAnsi="黑体" w:eastAsia="仿宋_GB2312"/>
          <w:sz w:val="32"/>
          <w:szCs w:val="32"/>
          <w:highlight w:val="none"/>
        </w:rPr>
        <w:t>2022年预算支出8106270.00</w:t>
      </w:r>
      <w:r>
        <w:rPr>
          <w:rFonts w:hint="eastAsia" w:ascii="仿宋_GB2312" w:hAnsi="黑体" w:eastAsia="仿宋_GB2312"/>
          <w:sz w:val="32"/>
          <w:szCs w:val="32"/>
          <w:highlight w:val="none"/>
          <w:lang w:eastAsia="zh-CN"/>
        </w:rPr>
        <w:t>元</w:t>
      </w:r>
      <w:r>
        <w:rPr>
          <w:rFonts w:hint="eastAsia" w:ascii="仿宋_GB2312" w:hAnsi="黑体" w:eastAsia="仿宋_GB2312"/>
          <w:sz w:val="32"/>
          <w:szCs w:val="32"/>
          <w:highlight w:val="none"/>
        </w:rPr>
        <w:t>，比上年预算数</w:t>
      </w:r>
      <w:r>
        <w:rPr>
          <w:rFonts w:hint="eastAsia" w:ascii="仿宋_GB2312" w:hAnsi="宋体" w:eastAsia="仿宋_GB2312"/>
          <w:sz w:val="32"/>
          <w:szCs w:val="32"/>
          <w:highlight w:val="none"/>
          <w:lang w:eastAsia="zh-CN"/>
        </w:rPr>
        <w:t>增加</w:t>
      </w:r>
      <w:r>
        <w:rPr>
          <w:rFonts w:hint="eastAsia" w:ascii="仿宋_GB2312" w:hAnsi="宋体" w:eastAsia="仿宋_GB2312"/>
          <w:sz w:val="32"/>
          <w:szCs w:val="32"/>
          <w:highlight w:val="none"/>
          <w:lang w:val="en-US" w:eastAsia="zh-CN"/>
        </w:rPr>
        <w:t>11.66%</w:t>
      </w:r>
      <w:r>
        <w:rPr>
          <w:rFonts w:hint="eastAsia" w:ascii="仿宋_GB2312" w:hAnsi="宋体" w:eastAsia="仿宋_GB2312"/>
          <w:sz w:val="32"/>
          <w:szCs w:val="32"/>
          <w:highlight w:val="none"/>
          <w:lang w:eastAsia="zh-CN"/>
        </w:rPr>
        <w:t>，其中：行政运行（项）</w:t>
      </w:r>
      <w:r>
        <w:rPr>
          <w:rFonts w:hint="eastAsia" w:ascii="仿宋_GB2312" w:hAnsi="宋体" w:eastAsia="仿宋_GB2312"/>
          <w:sz w:val="32"/>
          <w:szCs w:val="32"/>
          <w:highlight w:val="none"/>
          <w:lang w:val="en-US" w:eastAsia="zh-CN"/>
        </w:rPr>
        <w:t>2</w:t>
      </w:r>
      <w:r>
        <w:rPr>
          <w:rFonts w:hint="eastAsia" w:ascii="仿宋_GB2312" w:hAnsi="黑体" w:eastAsia="仿宋_GB2312"/>
          <w:sz w:val="32"/>
          <w:szCs w:val="32"/>
          <w:highlight w:val="none"/>
        </w:rPr>
        <w:t>022年预算支出7126270.00</w:t>
      </w:r>
      <w:r>
        <w:rPr>
          <w:rFonts w:hint="eastAsia" w:ascii="仿宋_GB2312" w:hAnsi="黑体" w:eastAsia="仿宋_GB2312"/>
          <w:sz w:val="32"/>
          <w:szCs w:val="32"/>
          <w:highlight w:val="none"/>
          <w:lang w:eastAsia="zh-CN"/>
        </w:rPr>
        <w:t>元</w:t>
      </w:r>
      <w:r>
        <w:rPr>
          <w:rFonts w:hint="eastAsia" w:ascii="仿宋_GB2312" w:hAnsi="黑体" w:eastAsia="仿宋_GB2312"/>
          <w:sz w:val="32"/>
          <w:szCs w:val="32"/>
          <w:highlight w:val="none"/>
        </w:rPr>
        <w:t>，比上年预算数</w:t>
      </w:r>
      <w:r>
        <w:rPr>
          <w:rFonts w:hint="eastAsia" w:ascii="仿宋_GB2312" w:hAnsi="宋体" w:eastAsia="仿宋_GB2312"/>
          <w:sz w:val="32"/>
          <w:szCs w:val="32"/>
          <w:highlight w:val="none"/>
          <w:lang w:eastAsia="zh-CN"/>
        </w:rPr>
        <w:t>增加</w:t>
      </w:r>
      <w:r>
        <w:rPr>
          <w:rFonts w:hint="eastAsia" w:ascii="仿宋_GB2312" w:hAnsi="宋体" w:eastAsia="仿宋_GB2312"/>
          <w:sz w:val="32"/>
          <w:szCs w:val="32"/>
          <w:highlight w:val="none"/>
          <w:lang w:val="en-US" w:eastAsia="zh-CN"/>
        </w:rPr>
        <w:t>19.38%</w:t>
      </w:r>
      <w:r>
        <w:rPr>
          <w:rFonts w:hint="eastAsia" w:ascii="仿宋_GB2312" w:hAnsi="宋体" w:eastAsia="仿宋_GB2312"/>
          <w:sz w:val="32"/>
          <w:szCs w:val="32"/>
          <w:highlight w:val="none"/>
          <w:lang w:eastAsia="zh-CN"/>
        </w:rPr>
        <w:t>，其他司法支出（项）</w:t>
      </w:r>
      <w:r>
        <w:rPr>
          <w:rFonts w:hint="eastAsia" w:ascii="仿宋_GB2312" w:hAnsi="宋体" w:eastAsia="仿宋_GB2312"/>
          <w:sz w:val="32"/>
          <w:szCs w:val="32"/>
          <w:highlight w:val="none"/>
          <w:lang w:val="en-US" w:eastAsia="zh-CN"/>
        </w:rPr>
        <w:t>2</w:t>
      </w:r>
      <w:r>
        <w:rPr>
          <w:rFonts w:hint="eastAsia" w:ascii="仿宋_GB2312" w:hAnsi="黑体" w:eastAsia="仿宋_GB2312"/>
          <w:sz w:val="32"/>
          <w:szCs w:val="32"/>
          <w:highlight w:val="none"/>
        </w:rPr>
        <w:t>022年预算支出</w:t>
      </w:r>
      <w:r>
        <w:rPr>
          <w:rFonts w:hint="eastAsia" w:ascii="仿宋_GB2312" w:hAnsi="黑体" w:eastAsia="仿宋_GB2312"/>
          <w:sz w:val="32"/>
          <w:szCs w:val="32"/>
          <w:highlight w:val="none"/>
          <w:lang w:val="en-US" w:eastAsia="zh-CN"/>
        </w:rPr>
        <w:t>980000元，</w:t>
      </w:r>
      <w:r>
        <w:rPr>
          <w:rFonts w:hint="eastAsia" w:ascii="仿宋_GB2312" w:hAnsi="黑体" w:eastAsia="仿宋_GB2312"/>
          <w:sz w:val="32"/>
          <w:szCs w:val="32"/>
          <w:highlight w:val="none"/>
        </w:rPr>
        <w:t>比上年预算数</w:t>
      </w:r>
      <w:r>
        <w:rPr>
          <w:rFonts w:hint="eastAsia" w:ascii="仿宋_GB2312" w:hAnsi="宋体" w:eastAsia="仿宋_GB2312"/>
          <w:sz w:val="32"/>
          <w:szCs w:val="32"/>
          <w:highlight w:val="none"/>
          <w:lang w:eastAsia="zh-CN"/>
        </w:rPr>
        <w:t>增加</w:t>
      </w:r>
      <w:r>
        <w:rPr>
          <w:rFonts w:hint="eastAsia" w:ascii="仿宋_GB2312" w:hAnsi="宋体" w:eastAsia="仿宋_GB2312"/>
          <w:sz w:val="32"/>
          <w:szCs w:val="32"/>
          <w:highlight w:val="none"/>
          <w:lang w:val="en-US" w:eastAsia="zh-CN"/>
        </w:rPr>
        <w:t>40%</w:t>
      </w:r>
      <w:r>
        <w:rPr>
          <w:rFonts w:hint="eastAsia" w:ascii="仿宋_GB2312" w:hAnsi="宋体" w:eastAsia="仿宋_GB2312"/>
          <w:sz w:val="32"/>
          <w:szCs w:val="32"/>
          <w:highlight w:val="none"/>
          <w:lang w:eastAsia="zh-CN"/>
        </w:rPr>
        <w:t>，专项经费开支支出增加</w:t>
      </w:r>
      <w:r>
        <w:rPr>
          <w:rFonts w:hint="eastAsia" w:ascii="仿宋_GB2312" w:hAnsi="宋体" w:eastAsia="仿宋_GB2312"/>
          <w:sz w:val="32"/>
          <w:szCs w:val="32"/>
          <w:highlight w:val="none"/>
        </w:rPr>
        <w:t>。</w:t>
      </w:r>
    </w:p>
    <w:p>
      <w:pPr>
        <w:spacing w:line="640" w:lineRule="exact"/>
        <w:ind w:firstLine="643" w:firstLineChars="200"/>
        <w:rPr>
          <w:rFonts w:hint="eastAsia" w:ascii="仿宋_GB2312" w:hAnsi="黑体" w:eastAsia="仿宋_GB2312"/>
          <w:sz w:val="32"/>
          <w:szCs w:val="32"/>
          <w:highlight w:val="none"/>
        </w:rPr>
      </w:pPr>
      <w:r>
        <w:rPr>
          <w:rFonts w:hint="eastAsia" w:ascii="仿宋_GB2312" w:hAnsi="黑体" w:eastAsia="仿宋_GB2312"/>
          <w:b/>
          <w:sz w:val="32"/>
          <w:szCs w:val="32"/>
          <w:highlight w:val="none"/>
          <w:lang w:val="en-US" w:eastAsia="zh-CN"/>
        </w:rPr>
        <w:t>(三）</w:t>
      </w:r>
      <w:r>
        <w:rPr>
          <w:rFonts w:hint="eastAsia" w:ascii="仿宋_GB2312" w:hAnsi="黑体" w:eastAsia="仿宋_GB2312"/>
          <w:b/>
          <w:sz w:val="32"/>
          <w:szCs w:val="32"/>
          <w:highlight w:val="none"/>
        </w:rPr>
        <w:t>社会保障和就业支出（类</w:t>
      </w:r>
      <w:r>
        <w:rPr>
          <w:rFonts w:hint="eastAsia" w:ascii="仿宋_GB2312" w:hAnsi="黑体" w:eastAsia="仿宋_GB2312"/>
          <w:sz w:val="32"/>
          <w:szCs w:val="32"/>
          <w:highlight w:val="none"/>
        </w:rPr>
        <w:t>）</w:t>
      </w:r>
      <w:r>
        <w:rPr>
          <w:rFonts w:hint="eastAsia" w:ascii="仿宋_GB2312" w:hAnsi="黑体" w:eastAsia="仿宋_GB2312"/>
          <w:b/>
          <w:bCs/>
          <w:sz w:val="32"/>
          <w:szCs w:val="32"/>
          <w:highlight w:val="none"/>
        </w:rPr>
        <w:t>行政事业单位养老支出（款）</w:t>
      </w:r>
      <w:r>
        <w:rPr>
          <w:rFonts w:hint="eastAsia" w:ascii="仿宋_GB2312" w:hAnsi="黑体" w:eastAsia="仿宋_GB2312"/>
          <w:sz w:val="32"/>
          <w:szCs w:val="32"/>
          <w:highlight w:val="none"/>
        </w:rPr>
        <w:t>2022年预算支出738821.26元，变化情况：</w:t>
      </w:r>
      <w:r>
        <w:rPr>
          <w:rFonts w:hint="eastAsia" w:ascii="仿宋_GB2312" w:hAnsi="宋体" w:eastAsia="仿宋_GB2312"/>
          <w:sz w:val="32"/>
          <w:szCs w:val="32"/>
          <w:highlight w:val="none"/>
        </w:rPr>
        <w:t>比上年预算数</w:t>
      </w:r>
      <w:r>
        <w:rPr>
          <w:rFonts w:hint="eastAsia" w:ascii="仿宋_GB2312" w:hAnsi="宋体" w:eastAsia="仿宋_GB2312"/>
          <w:sz w:val="32"/>
          <w:szCs w:val="32"/>
          <w:highlight w:val="none"/>
          <w:lang w:eastAsia="zh-CN"/>
        </w:rPr>
        <w:t>增加</w:t>
      </w:r>
      <w:r>
        <w:rPr>
          <w:rFonts w:hint="eastAsia" w:ascii="仿宋_GB2312" w:hAnsi="宋体" w:eastAsia="仿宋_GB2312"/>
          <w:sz w:val="32"/>
          <w:szCs w:val="32"/>
          <w:highlight w:val="none"/>
          <w:lang w:val="en-US" w:eastAsia="zh-CN"/>
        </w:rPr>
        <w:t>0.63</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eastAsia="zh-CN"/>
        </w:rPr>
        <w:t>，</w:t>
      </w:r>
      <w:r>
        <w:rPr>
          <w:rFonts w:hint="eastAsia" w:ascii="仿宋_GB2312" w:hAnsi="黑体" w:eastAsia="仿宋_GB2312"/>
          <w:sz w:val="32"/>
          <w:szCs w:val="32"/>
          <w:highlight w:val="none"/>
        </w:rPr>
        <w:t>其中：行政事业单位养老支出（项）2022年预算支出729700.00元</w:t>
      </w:r>
      <w:r>
        <w:rPr>
          <w:rFonts w:hint="eastAsia" w:ascii="仿宋_GB2312" w:hAnsi="黑体" w:eastAsia="仿宋_GB2312"/>
          <w:sz w:val="32"/>
          <w:szCs w:val="32"/>
          <w:highlight w:val="none"/>
          <w:lang w:eastAsia="zh-CN"/>
        </w:rPr>
        <w:t>，</w:t>
      </w:r>
      <w:r>
        <w:rPr>
          <w:rFonts w:hint="eastAsia" w:ascii="仿宋_GB2312" w:hAnsi="宋体" w:eastAsia="仿宋_GB2312"/>
          <w:sz w:val="32"/>
          <w:szCs w:val="32"/>
          <w:highlight w:val="none"/>
        </w:rPr>
        <w:t>比上年预算数</w:t>
      </w:r>
      <w:r>
        <w:rPr>
          <w:rFonts w:hint="eastAsia" w:ascii="仿宋_GB2312" w:hAnsi="宋体" w:eastAsia="仿宋_GB2312"/>
          <w:sz w:val="32"/>
          <w:szCs w:val="32"/>
          <w:highlight w:val="none"/>
          <w:lang w:eastAsia="zh-CN"/>
        </w:rPr>
        <w:t>减少</w:t>
      </w:r>
      <w:r>
        <w:rPr>
          <w:rFonts w:hint="eastAsia" w:ascii="仿宋_GB2312" w:hAnsi="宋体" w:eastAsia="仿宋_GB2312"/>
          <w:sz w:val="32"/>
          <w:szCs w:val="32"/>
          <w:highlight w:val="none"/>
          <w:lang w:val="en-US" w:eastAsia="zh-CN"/>
        </w:rPr>
        <w:t>0.60</w:t>
      </w:r>
      <w:r>
        <w:rPr>
          <w:rFonts w:hint="eastAsia" w:ascii="仿宋_GB2312" w:hAnsi="宋体" w:eastAsia="仿宋_GB2312"/>
          <w:sz w:val="32"/>
          <w:szCs w:val="32"/>
          <w:highlight w:val="none"/>
        </w:rPr>
        <w:t>%</w:t>
      </w:r>
      <w:r>
        <w:rPr>
          <w:rFonts w:hint="eastAsia" w:ascii="仿宋_GB2312" w:hAnsi="黑体" w:eastAsia="仿宋_GB2312"/>
          <w:sz w:val="32"/>
          <w:szCs w:val="32"/>
          <w:highlight w:val="none"/>
        </w:rPr>
        <w:t>。</w:t>
      </w:r>
      <w:r>
        <w:rPr>
          <w:rFonts w:hint="eastAsia" w:ascii="仿宋_GB2312" w:hAnsi="黑体" w:eastAsia="仿宋_GB2312"/>
          <w:b/>
          <w:bCs/>
          <w:sz w:val="32"/>
          <w:szCs w:val="32"/>
          <w:highlight w:val="none"/>
        </w:rPr>
        <w:t>财政对其他社会保险基金的补助</w:t>
      </w:r>
      <w:r>
        <w:rPr>
          <w:rFonts w:hint="eastAsia" w:ascii="仿宋_GB2312" w:hAnsi="黑体" w:eastAsia="仿宋_GB2312"/>
          <w:b/>
          <w:bCs/>
          <w:sz w:val="32"/>
          <w:szCs w:val="32"/>
          <w:highlight w:val="none"/>
          <w:lang w:val="en-US" w:eastAsia="zh-CN"/>
        </w:rPr>
        <w:t>(款）</w:t>
      </w:r>
      <w:r>
        <w:rPr>
          <w:rFonts w:hint="eastAsia" w:ascii="仿宋_GB2312" w:hAnsi="黑体" w:eastAsia="仿宋_GB2312"/>
          <w:sz w:val="32"/>
          <w:szCs w:val="32"/>
          <w:highlight w:val="none"/>
        </w:rPr>
        <w:t>2022年预算支出9121.26元</w:t>
      </w:r>
      <w:r>
        <w:rPr>
          <w:rFonts w:hint="eastAsia" w:ascii="仿宋_GB2312" w:hAnsi="黑体" w:eastAsia="仿宋_GB2312"/>
          <w:sz w:val="32"/>
          <w:szCs w:val="32"/>
          <w:highlight w:val="none"/>
          <w:lang w:eastAsia="zh-CN"/>
        </w:rPr>
        <w:t>，</w:t>
      </w:r>
      <w:r>
        <w:rPr>
          <w:rFonts w:hint="eastAsia" w:ascii="仿宋_GB2312" w:hAnsi="宋体" w:eastAsia="仿宋_GB2312"/>
          <w:sz w:val="32"/>
          <w:szCs w:val="32"/>
          <w:highlight w:val="none"/>
        </w:rPr>
        <w:t>比上年预算数</w:t>
      </w:r>
      <w:r>
        <w:rPr>
          <w:rFonts w:hint="eastAsia" w:ascii="仿宋_GB2312" w:hAnsi="宋体" w:eastAsia="仿宋_GB2312"/>
          <w:sz w:val="32"/>
          <w:szCs w:val="32"/>
          <w:highlight w:val="none"/>
          <w:lang w:eastAsia="zh-CN"/>
        </w:rPr>
        <w:t>增加</w:t>
      </w:r>
      <w:r>
        <w:rPr>
          <w:rFonts w:hint="eastAsia" w:ascii="仿宋_GB2312" w:hAnsi="宋体" w:eastAsia="仿宋_GB2312"/>
          <w:sz w:val="32"/>
          <w:szCs w:val="32"/>
          <w:highlight w:val="none"/>
          <w:lang w:val="en-US" w:eastAsia="zh-CN"/>
        </w:rPr>
        <w:t>100</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eastAsia="zh-CN"/>
        </w:rPr>
        <w:t>。其中：</w:t>
      </w:r>
      <w:r>
        <w:rPr>
          <w:rFonts w:hint="eastAsia" w:ascii="仿宋_GB2312" w:hAnsi="黑体" w:eastAsia="仿宋_GB2312"/>
          <w:sz w:val="32"/>
          <w:szCs w:val="32"/>
          <w:highlight w:val="none"/>
        </w:rPr>
        <w:t>财政对工伤保险基金的补助（项）2022年预算支出9121.26元</w:t>
      </w:r>
      <w:r>
        <w:rPr>
          <w:rFonts w:hint="eastAsia" w:ascii="仿宋_GB2312" w:hAnsi="黑体" w:eastAsia="仿宋_GB2312"/>
          <w:sz w:val="32"/>
          <w:szCs w:val="32"/>
          <w:highlight w:val="none"/>
          <w:lang w:eastAsia="zh-CN"/>
        </w:rPr>
        <w:t>，</w:t>
      </w:r>
      <w:r>
        <w:rPr>
          <w:rFonts w:hint="eastAsia" w:ascii="仿宋_GB2312" w:hAnsi="宋体" w:eastAsia="仿宋_GB2312"/>
          <w:sz w:val="32"/>
          <w:szCs w:val="32"/>
          <w:highlight w:val="none"/>
        </w:rPr>
        <w:t>比上年预算数</w:t>
      </w:r>
      <w:r>
        <w:rPr>
          <w:rFonts w:hint="eastAsia" w:ascii="仿宋_GB2312" w:hAnsi="宋体" w:eastAsia="仿宋_GB2312"/>
          <w:sz w:val="32"/>
          <w:szCs w:val="32"/>
          <w:highlight w:val="none"/>
          <w:lang w:eastAsia="zh-CN"/>
        </w:rPr>
        <w:t>增加</w:t>
      </w:r>
      <w:r>
        <w:rPr>
          <w:rFonts w:hint="eastAsia" w:ascii="仿宋_GB2312" w:hAnsi="宋体" w:eastAsia="仿宋_GB2312"/>
          <w:sz w:val="32"/>
          <w:szCs w:val="32"/>
          <w:highlight w:val="none"/>
          <w:lang w:val="en-US" w:eastAsia="zh-CN"/>
        </w:rPr>
        <w:t>100</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eastAsia="zh-CN"/>
        </w:rPr>
        <w:t>。</w:t>
      </w:r>
      <w:r>
        <w:rPr>
          <w:rFonts w:hint="eastAsia" w:ascii="仿宋_GB2312" w:hAnsi="宋体" w:eastAsia="仿宋_GB2312"/>
          <w:sz w:val="32"/>
          <w:szCs w:val="32"/>
          <w:highlight w:val="none"/>
        </w:rPr>
        <w:t>主要原因是：</w:t>
      </w:r>
      <w:r>
        <w:rPr>
          <w:rFonts w:hint="eastAsia" w:ascii="仿宋_GB2312" w:hAnsi="宋体" w:eastAsia="仿宋_GB2312"/>
          <w:sz w:val="32"/>
          <w:szCs w:val="32"/>
          <w:highlight w:val="none"/>
          <w:lang w:eastAsia="zh-CN"/>
        </w:rPr>
        <w:t>人员变动</w:t>
      </w:r>
      <w:r>
        <w:rPr>
          <w:rFonts w:hint="eastAsia" w:ascii="仿宋_GB2312" w:hAnsi="黑体" w:eastAsia="仿宋_GB2312"/>
          <w:sz w:val="32"/>
          <w:szCs w:val="32"/>
          <w:highlight w:val="none"/>
        </w:rPr>
        <w:t>。</w:t>
      </w:r>
    </w:p>
    <w:p>
      <w:pPr>
        <w:spacing w:line="640" w:lineRule="exact"/>
        <w:ind w:firstLine="643" w:firstLineChars="200"/>
        <w:rPr>
          <w:rFonts w:hint="eastAsia" w:ascii="仿宋_GB2312" w:hAnsi="黑体" w:eastAsia="仿宋_GB2312"/>
          <w:b/>
          <w:bCs/>
          <w:sz w:val="32"/>
          <w:szCs w:val="32"/>
          <w:highlight w:val="none"/>
          <w:lang w:val="en-US" w:eastAsia="zh-CN"/>
        </w:rPr>
      </w:pPr>
      <w:r>
        <w:rPr>
          <w:rFonts w:hint="eastAsia" w:ascii="仿宋_GB2312" w:hAnsi="黑体" w:eastAsia="仿宋_GB2312"/>
          <w:b/>
          <w:bCs/>
          <w:sz w:val="32"/>
          <w:szCs w:val="32"/>
          <w:highlight w:val="none"/>
          <w:lang w:eastAsia="zh-CN"/>
        </w:rPr>
        <w:t>（四）卫生健康支出（类）财政对基本医疗保险基金的补助（款）</w:t>
      </w:r>
      <w:r>
        <w:rPr>
          <w:rFonts w:hint="eastAsia" w:ascii="仿宋_GB2312" w:hAnsi="黑体" w:eastAsia="仿宋_GB2312"/>
          <w:sz w:val="32"/>
          <w:szCs w:val="32"/>
          <w:highlight w:val="none"/>
        </w:rPr>
        <w:t>2022年预算支出303136.95</w:t>
      </w:r>
      <w:r>
        <w:rPr>
          <w:rFonts w:hint="eastAsia" w:ascii="仿宋_GB2312" w:hAnsi="黑体" w:eastAsia="仿宋_GB2312"/>
          <w:sz w:val="32"/>
          <w:szCs w:val="32"/>
          <w:highlight w:val="none"/>
          <w:lang w:eastAsia="zh-CN"/>
        </w:rPr>
        <w:t>元，</w:t>
      </w:r>
      <w:r>
        <w:rPr>
          <w:rFonts w:hint="eastAsia" w:ascii="仿宋_GB2312" w:hAnsi="宋体" w:eastAsia="仿宋_GB2312"/>
          <w:sz w:val="32"/>
          <w:szCs w:val="32"/>
          <w:highlight w:val="none"/>
        </w:rPr>
        <w:t>比上年预算数</w:t>
      </w:r>
      <w:r>
        <w:rPr>
          <w:rFonts w:hint="eastAsia" w:ascii="仿宋_GB2312" w:hAnsi="宋体" w:eastAsia="仿宋_GB2312"/>
          <w:sz w:val="32"/>
          <w:szCs w:val="32"/>
          <w:highlight w:val="none"/>
          <w:lang w:eastAsia="zh-CN"/>
        </w:rPr>
        <w:t>增加</w:t>
      </w:r>
      <w:r>
        <w:rPr>
          <w:rFonts w:hint="eastAsia" w:ascii="仿宋_GB2312" w:hAnsi="宋体" w:eastAsia="仿宋_GB2312"/>
          <w:sz w:val="32"/>
          <w:szCs w:val="32"/>
          <w:highlight w:val="none"/>
          <w:lang w:val="en-US" w:eastAsia="zh-CN"/>
        </w:rPr>
        <w:t>100</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eastAsia="zh-CN"/>
        </w:rPr>
        <w:t>。财政对职工基本医疗保险基金的补助（项）</w:t>
      </w:r>
      <w:r>
        <w:rPr>
          <w:rFonts w:hint="eastAsia" w:ascii="仿宋_GB2312" w:hAnsi="黑体" w:eastAsia="仿宋_GB2312"/>
          <w:sz w:val="32"/>
          <w:szCs w:val="32"/>
          <w:highlight w:val="none"/>
        </w:rPr>
        <w:t>2022年预算支出303136.95</w:t>
      </w:r>
      <w:r>
        <w:rPr>
          <w:rFonts w:hint="eastAsia" w:ascii="仿宋_GB2312" w:hAnsi="黑体" w:eastAsia="仿宋_GB2312"/>
          <w:sz w:val="32"/>
          <w:szCs w:val="32"/>
          <w:highlight w:val="none"/>
          <w:lang w:eastAsia="zh-CN"/>
        </w:rPr>
        <w:t>元，</w:t>
      </w:r>
      <w:r>
        <w:rPr>
          <w:rFonts w:hint="eastAsia" w:ascii="仿宋_GB2312" w:hAnsi="宋体" w:eastAsia="仿宋_GB2312"/>
          <w:sz w:val="32"/>
          <w:szCs w:val="32"/>
          <w:highlight w:val="none"/>
        </w:rPr>
        <w:t>比上年预算数</w:t>
      </w:r>
      <w:r>
        <w:rPr>
          <w:rFonts w:hint="eastAsia" w:ascii="仿宋_GB2312" w:hAnsi="宋体" w:eastAsia="仿宋_GB2312"/>
          <w:sz w:val="32"/>
          <w:szCs w:val="32"/>
          <w:highlight w:val="none"/>
          <w:lang w:eastAsia="zh-CN"/>
        </w:rPr>
        <w:t>增加</w:t>
      </w:r>
      <w:r>
        <w:rPr>
          <w:rFonts w:hint="eastAsia" w:ascii="仿宋_GB2312" w:hAnsi="宋体" w:eastAsia="仿宋_GB2312"/>
          <w:sz w:val="32"/>
          <w:szCs w:val="32"/>
          <w:highlight w:val="none"/>
          <w:lang w:val="en-US" w:eastAsia="zh-CN"/>
        </w:rPr>
        <w:t>100</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eastAsia="zh-CN"/>
        </w:rPr>
        <w:t>。</w:t>
      </w:r>
      <w:r>
        <w:rPr>
          <w:rFonts w:hint="eastAsia" w:ascii="仿宋_GB2312" w:hAnsi="宋体" w:eastAsia="仿宋_GB2312"/>
          <w:sz w:val="32"/>
          <w:szCs w:val="32"/>
          <w:highlight w:val="none"/>
        </w:rPr>
        <w:t>主要原因是：</w:t>
      </w:r>
      <w:r>
        <w:rPr>
          <w:rFonts w:hint="eastAsia" w:ascii="仿宋_GB2312" w:hAnsi="宋体" w:eastAsia="仿宋_GB2312"/>
          <w:sz w:val="32"/>
          <w:szCs w:val="32"/>
          <w:highlight w:val="none"/>
          <w:lang w:eastAsia="zh-CN"/>
        </w:rPr>
        <w:t>上年无此项对比</w:t>
      </w:r>
      <w:r>
        <w:rPr>
          <w:rFonts w:hint="eastAsia" w:ascii="仿宋_GB2312" w:hAnsi="宋体" w:eastAsia="仿宋_GB2312"/>
          <w:sz w:val="32"/>
          <w:szCs w:val="32"/>
          <w:highlight w:val="none"/>
        </w:rPr>
        <w:t>。</w:t>
      </w:r>
    </w:p>
    <w:p>
      <w:pPr>
        <w:spacing w:line="640" w:lineRule="exact"/>
        <w:ind w:firstLine="643" w:firstLineChars="200"/>
        <w:rPr>
          <w:rFonts w:hint="eastAsia" w:ascii="楷体_GB2312" w:hAnsi="黑体" w:eastAsia="楷体_GB2312"/>
          <w:b/>
          <w:sz w:val="32"/>
          <w:szCs w:val="32"/>
          <w:highlight w:val="none"/>
          <w:lang w:eastAsia="zh-CN"/>
        </w:rPr>
      </w:pPr>
      <w:r>
        <w:rPr>
          <w:rFonts w:hint="eastAsia" w:ascii="楷体_GB2312" w:hAnsi="黑体" w:eastAsia="楷体_GB2312"/>
          <w:b/>
          <w:sz w:val="32"/>
          <w:szCs w:val="32"/>
          <w:highlight w:val="none"/>
          <w:lang w:eastAsia="zh-CN"/>
        </w:rPr>
        <w:t>（五）</w:t>
      </w:r>
      <w:r>
        <w:rPr>
          <w:rFonts w:hint="eastAsia" w:ascii="楷体_GB2312" w:hAnsi="黑体" w:eastAsia="楷体_GB2312"/>
          <w:b/>
          <w:sz w:val="32"/>
          <w:szCs w:val="32"/>
          <w:highlight w:val="none"/>
          <w:lang w:val="en-US" w:eastAsia="zh-CN"/>
        </w:rPr>
        <w:t xml:space="preserve">住房保障支出（类）住房改革支出（款） </w:t>
      </w:r>
      <w:r>
        <w:rPr>
          <w:rFonts w:hint="eastAsia" w:ascii="仿宋_GB2312" w:hAnsi="黑体" w:eastAsia="仿宋_GB2312"/>
          <w:sz w:val="32"/>
          <w:szCs w:val="32"/>
          <w:highlight w:val="none"/>
        </w:rPr>
        <w:t>2022年预算支出</w:t>
      </w:r>
      <w:r>
        <w:rPr>
          <w:rFonts w:hint="eastAsia" w:ascii="仿宋_GB2312" w:hAnsi="宋体" w:eastAsia="仿宋_GB2312" w:cs="Times New Roman"/>
          <w:sz w:val="32"/>
          <w:szCs w:val="32"/>
          <w:highlight w:val="none"/>
          <w:lang w:val="en-US" w:eastAsia="zh-CN"/>
        </w:rPr>
        <w:t>547275.00</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lang w:eastAsia="zh-CN"/>
        </w:rPr>
        <w:t>，</w:t>
      </w:r>
      <w:r>
        <w:rPr>
          <w:rFonts w:hint="eastAsia" w:ascii="仿宋_GB2312" w:hAnsi="宋体" w:eastAsia="仿宋_GB2312"/>
          <w:sz w:val="32"/>
          <w:szCs w:val="32"/>
          <w:highlight w:val="none"/>
        </w:rPr>
        <w:t>比上年预算数</w:t>
      </w:r>
      <w:r>
        <w:rPr>
          <w:rFonts w:hint="eastAsia" w:ascii="仿宋_GB2312" w:hAnsi="宋体" w:eastAsia="仿宋_GB2312"/>
          <w:sz w:val="32"/>
          <w:szCs w:val="32"/>
          <w:highlight w:val="none"/>
          <w:lang w:eastAsia="zh-CN"/>
        </w:rPr>
        <w:t>增加</w:t>
      </w:r>
      <w:r>
        <w:rPr>
          <w:rFonts w:hint="eastAsia" w:ascii="仿宋_GB2312" w:hAnsi="宋体" w:eastAsia="仿宋_GB2312"/>
          <w:sz w:val="32"/>
          <w:szCs w:val="32"/>
          <w:highlight w:val="none"/>
          <w:lang w:val="en-US" w:eastAsia="zh-CN"/>
        </w:rPr>
        <w:t>100</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eastAsia="zh-CN"/>
        </w:rPr>
        <w:t>，其中：住房公积金（项）</w:t>
      </w:r>
      <w:r>
        <w:rPr>
          <w:rFonts w:hint="eastAsia" w:ascii="仿宋_GB2312" w:hAnsi="宋体" w:eastAsia="仿宋_GB2312"/>
          <w:sz w:val="32"/>
          <w:szCs w:val="32"/>
          <w:highlight w:val="none"/>
        </w:rPr>
        <w:t>主要原因是：</w:t>
      </w:r>
      <w:r>
        <w:rPr>
          <w:rFonts w:hint="eastAsia" w:ascii="仿宋_GB2312" w:hAnsi="黑体" w:eastAsia="仿宋_GB2312"/>
          <w:sz w:val="32"/>
          <w:szCs w:val="32"/>
          <w:highlight w:val="none"/>
        </w:rPr>
        <w:t>2022年预算支出</w:t>
      </w:r>
      <w:r>
        <w:rPr>
          <w:rFonts w:hint="eastAsia" w:ascii="仿宋_GB2312" w:hAnsi="宋体" w:eastAsia="仿宋_GB2312" w:cs="Times New Roman"/>
          <w:sz w:val="32"/>
          <w:szCs w:val="32"/>
          <w:highlight w:val="none"/>
          <w:lang w:val="en-US" w:eastAsia="zh-CN"/>
        </w:rPr>
        <w:t>547275.00</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lang w:eastAsia="zh-CN"/>
        </w:rPr>
        <w:t>，</w:t>
      </w:r>
      <w:r>
        <w:rPr>
          <w:rFonts w:hint="eastAsia" w:ascii="仿宋_GB2312" w:hAnsi="宋体" w:eastAsia="仿宋_GB2312"/>
          <w:sz w:val="32"/>
          <w:szCs w:val="32"/>
          <w:highlight w:val="none"/>
        </w:rPr>
        <w:t>比上年预算数</w:t>
      </w:r>
      <w:r>
        <w:rPr>
          <w:rFonts w:hint="eastAsia" w:ascii="仿宋_GB2312" w:hAnsi="宋体" w:eastAsia="仿宋_GB2312"/>
          <w:sz w:val="32"/>
          <w:szCs w:val="32"/>
          <w:highlight w:val="none"/>
          <w:lang w:eastAsia="zh-CN"/>
        </w:rPr>
        <w:t>增加</w:t>
      </w:r>
      <w:r>
        <w:rPr>
          <w:rFonts w:hint="eastAsia" w:ascii="仿宋_GB2312" w:hAnsi="宋体" w:eastAsia="仿宋_GB2312"/>
          <w:sz w:val="32"/>
          <w:szCs w:val="32"/>
          <w:highlight w:val="none"/>
          <w:lang w:val="en-US" w:eastAsia="zh-CN"/>
        </w:rPr>
        <w:t>100</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eastAsia="zh-CN"/>
        </w:rPr>
        <w:t>。</w:t>
      </w:r>
      <w:r>
        <w:rPr>
          <w:rFonts w:hint="eastAsia" w:ascii="仿宋_GB2312" w:hAnsi="宋体" w:eastAsia="仿宋_GB2312"/>
          <w:sz w:val="32"/>
          <w:szCs w:val="32"/>
          <w:highlight w:val="none"/>
        </w:rPr>
        <w:t>主要原因是：</w:t>
      </w:r>
      <w:r>
        <w:rPr>
          <w:rFonts w:hint="eastAsia" w:ascii="仿宋_GB2312" w:hAnsi="宋体" w:eastAsia="仿宋_GB2312"/>
          <w:sz w:val="32"/>
          <w:szCs w:val="32"/>
          <w:highlight w:val="none"/>
          <w:lang w:eastAsia="zh-CN"/>
        </w:rPr>
        <w:t>上年无此项对比</w:t>
      </w:r>
      <w:r>
        <w:rPr>
          <w:rFonts w:hint="eastAsia" w:ascii="仿宋_GB2312" w:hAnsi="宋体" w:eastAsia="仿宋_GB2312"/>
          <w:sz w:val="32"/>
          <w:szCs w:val="32"/>
          <w:highlight w:val="none"/>
        </w:rPr>
        <w:t>。</w:t>
      </w:r>
    </w:p>
    <w:p>
      <w:pPr>
        <w:spacing w:line="64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rPr>
        <w:t>三、部门一般公共预算基本支出情况说明</w:t>
      </w:r>
    </w:p>
    <w:p>
      <w:pPr>
        <w:spacing w:line="640" w:lineRule="exact"/>
        <w:ind w:firstLine="640" w:firstLineChars="200"/>
        <w:rPr>
          <w:rFonts w:hint="eastAsia" w:ascii="仿宋_GB2312" w:hAnsi="黑体" w:eastAsia="仿宋_GB2312"/>
          <w:sz w:val="32"/>
          <w:szCs w:val="32"/>
          <w:highlight w:val="none"/>
          <w:lang w:eastAsia="zh-CN"/>
        </w:rPr>
      </w:pPr>
      <w:r>
        <w:rPr>
          <w:rFonts w:hint="eastAsia" w:ascii="仿宋_GB2312" w:hAnsi="黑体" w:eastAsia="仿宋_GB2312"/>
          <w:sz w:val="32"/>
          <w:szCs w:val="32"/>
          <w:highlight w:val="none"/>
        </w:rPr>
        <w:t>2022年一般公共预算基本支出8089215.81</w:t>
      </w:r>
      <w:r>
        <w:rPr>
          <w:rFonts w:hint="eastAsia" w:ascii="仿宋_GB2312" w:hAnsi="黑体" w:eastAsia="仿宋_GB2312"/>
          <w:sz w:val="32"/>
          <w:szCs w:val="32"/>
          <w:highlight w:val="none"/>
          <w:lang w:eastAsia="zh-CN"/>
        </w:rPr>
        <w:t>元，</w:t>
      </w:r>
      <w:r>
        <w:rPr>
          <w:rFonts w:hint="eastAsia" w:ascii="仿宋_GB2312" w:hAnsi="黑体" w:eastAsia="仿宋_GB2312"/>
          <w:sz w:val="32"/>
          <w:szCs w:val="32"/>
          <w:highlight w:val="none"/>
        </w:rPr>
        <w:t>其中：人员经费</w:t>
      </w:r>
      <w:r>
        <w:rPr>
          <w:rFonts w:hint="eastAsia" w:ascii="仿宋_GB2312" w:hAnsi="黑体" w:eastAsia="仿宋_GB2312"/>
          <w:sz w:val="32"/>
          <w:szCs w:val="32"/>
          <w:highlight w:val="none"/>
          <w:lang w:val="en-US" w:eastAsia="zh-CN"/>
        </w:rPr>
        <w:t>7849215.81</w:t>
      </w:r>
      <w:r>
        <w:rPr>
          <w:rFonts w:hint="eastAsia" w:ascii="仿宋_GB2312" w:hAnsi="宋体" w:eastAsia="仿宋_GB2312"/>
          <w:sz w:val="32"/>
          <w:szCs w:val="32"/>
          <w:highlight w:val="none"/>
        </w:rPr>
        <w:t>元</w:t>
      </w:r>
      <w:r>
        <w:rPr>
          <w:rFonts w:hint="eastAsia" w:ascii="仿宋_GB2312" w:hAnsi="黑体" w:eastAsia="仿宋_GB2312"/>
          <w:sz w:val="32"/>
          <w:szCs w:val="32"/>
          <w:highlight w:val="none"/>
        </w:rPr>
        <w:t>，单位运转经费</w:t>
      </w:r>
      <w:r>
        <w:rPr>
          <w:rFonts w:hint="eastAsia" w:ascii="仿宋_GB2312" w:hAnsi="黑体" w:eastAsia="仿宋_GB2312"/>
          <w:sz w:val="32"/>
          <w:szCs w:val="32"/>
          <w:highlight w:val="none"/>
          <w:lang w:val="en-US" w:eastAsia="zh-CN"/>
        </w:rPr>
        <w:t>240000.00</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lang w:eastAsia="zh-CN"/>
        </w:rPr>
        <w:t>，</w:t>
      </w:r>
      <w:r>
        <w:rPr>
          <w:rFonts w:hint="eastAsia" w:ascii="仿宋_GB2312" w:hAnsi="宋体" w:eastAsia="仿宋_GB2312"/>
          <w:sz w:val="32"/>
          <w:szCs w:val="32"/>
          <w:highlight w:val="none"/>
        </w:rPr>
        <w:t>比上年预算数</w:t>
      </w:r>
      <w:r>
        <w:rPr>
          <w:rFonts w:hint="eastAsia" w:ascii="仿宋_GB2312" w:hAnsi="宋体" w:eastAsia="仿宋_GB2312"/>
          <w:sz w:val="32"/>
          <w:szCs w:val="32"/>
          <w:highlight w:val="none"/>
          <w:lang w:eastAsia="zh-CN"/>
        </w:rPr>
        <w:t>增加</w:t>
      </w:r>
      <w:r>
        <w:rPr>
          <w:rFonts w:hint="eastAsia" w:ascii="仿宋_GB2312" w:hAnsi="宋体" w:eastAsia="仿宋_GB2312"/>
          <w:sz w:val="32"/>
          <w:szCs w:val="32"/>
          <w:highlight w:val="none"/>
          <w:lang w:val="en-US" w:eastAsia="zh-CN"/>
        </w:rPr>
        <w:t>10.05</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eastAsia="zh-CN"/>
        </w:rPr>
        <w:t>，</w:t>
      </w:r>
      <w:r>
        <w:rPr>
          <w:rFonts w:hint="eastAsia" w:ascii="仿宋_GB2312" w:hAnsi="宋体" w:eastAsia="仿宋_GB2312"/>
          <w:sz w:val="32"/>
          <w:szCs w:val="32"/>
          <w:highlight w:val="none"/>
        </w:rPr>
        <w:t>主要原因是：</w:t>
      </w:r>
      <w:r>
        <w:rPr>
          <w:rFonts w:hint="eastAsia" w:ascii="仿宋_GB2312" w:hAnsi="宋体" w:eastAsia="仿宋_GB2312"/>
          <w:sz w:val="32"/>
          <w:szCs w:val="32"/>
          <w:highlight w:val="none"/>
          <w:lang w:eastAsia="zh-CN"/>
        </w:rPr>
        <w:t>经费支出及人员经费增加。</w:t>
      </w:r>
      <w:r>
        <w:rPr>
          <w:rFonts w:hint="eastAsia" w:ascii="仿宋_GB2312" w:hAnsi="宋体" w:eastAsia="仿宋_GB2312"/>
          <w:sz w:val="32"/>
          <w:szCs w:val="32"/>
          <w:highlight w:val="none"/>
        </w:rPr>
        <w:t>。</w:t>
      </w:r>
    </w:p>
    <w:p>
      <w:pPr>
        <w:spacing w:line="64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lang w:eastAsia="zh-CN"/>
        </w:rPr>
        <w:t>四、</w:t>
      </w:r>
      <w:r>
        <w:rPr>
          <w:rFonts w:hint="eastAsia" w:ascii="黑体" w:hAnsi="黑体" w:eastAsia="黑体"/>
          <w:sz w:val="32"/>
          <w:szCs w:val="32"/>
          <w:highlight w:val="none"/>
        </w:rPr>
        <w:t>部门一般公共预算</w:t>
      </w:r>
      <w:r>
        <w:rPr>
          <w:rFonts w:hint="eastAsia" w:ascii="黑体" w:hAnsi="黑体" w:eastAsia="黑体"/>
          <w:sz w:val="32"/>
          <w:szCs w:val="32"/>
          <w:highlight w:val="none"/>
          <w:lang w:eastAsia="zh-CN"/>
        </w:rPr>
        <w:t>项目</w:t>
      </w:r>
      <w:r>
        <w:rPr>
          <w:rFonts w:hint="eastAsia" w:ascii="黑体" w:hAnsi="黑体" w:eastAsia="黑体"/>
          <w:sz w:val="32"/>
          <w:szCs w:val="32"/>
          <w:highlight w:val="none"/>
        </w:rPr>
        <w:t>支出情况说明</w:t>
      </w:r>
    </w:p>
    <w:p>
      <w:pPr>
        <w:spacing w:line="640" w:lineRule="exact"/>
        <w:ind w:firstLine="640" w:firstLineChars="200"/>
        <w:rPr>
          <w:rFonts w:hint="default" w:ascii="仿宋_GB2312" w:hAnsi="黑体" w:eastAsia="仿宋_GB2312"/>
          <w:sz w:val="32"/>
          <w:szCs w:val="32"/>
          <w:highlight w:val="none"/>
          <w:lang w:val="en-US" w:eastAsia="zh-CN"/>
        </w:rPr>
      </w:pPr>
      <w:r>
        <w:rPr>
          <w:rFonts w:hint="eastAsia" w:ascii="仿宋_GB2312" w:hAnsi="黑体" w:eastAsia="仿宋_GB2312"/>
          <w:sz w:val="32"/>
          <w:szCs w:val="32"/>
          <w:highlight w:val="none"/>
        </w:rPr>
        <w:t>2022年一般公共预算</w:t>
      </w:r>
      <w:r>
        <w:rPr>
          <w:rFonts w:hint="eastAsia" w:ascii="仿宋_GB2312" w:hAnsi="黑体" w:eastAsia="仿宋_GB2312"/>
          <w:sz w:val="32"/>
          <w:szCs w:val="32"/>
          <w:highlight w:val="none"/>
          <w:lang w:eastAsia="zh-CN"/>
        </w:rPr>
        <w:t>项目</w:t>
      </w:r>
      <w:r>
        <w:rPr>
          <w:rFonts w:hint="eastAsia" w:ascii="仿宋_GB2312" w:hAnsi="黑体" w:eastAsia="仿宋_GB2312"/>
          <w:sz w:val="32"/>
          <w:szCs w:val="32"/>
          <w:highlight w:val="none"/>
        </w:rPr>
        <w:t>支出1697500.00</w:t>
      </w:r>
      <w:r>
        <w:rPr>
          <w:rFonts w:hint="eastAsia" w:ascii="仿宋_GB2312" w:hAnsi="黑体" w:eastAsia="仿宋_GB2312"/>
          <w:sz w:val="32"/>
          <w:szCs w:val="32"/>
          <w:highlight w:val="none"/>
          <w:lang w:eastAsia="zh-CN"/>
        </w:rPr>
        <w:t>元，涉及</w:t>
      </w:r>
      <w:r>
        <w:rPr>
          <w:rFonts w:hint="eastAsia" w:ascii="仿宋_GB2312" w:hAnsi="黑体" w:eastAsia="仿宋_GB2312"/>
          <w:sz w:val="32"/>
          <w:szCs w:val="32"/>
          <w:highlight w:val="none"/>
          <w:lang w:val="en-US" w:eastAsia="zh-CN"/>
        </w:rPr>
        <w:t>0个项目，</w:t>
      </w:r>
      <w:r>
        <w:rPr>
          <w:rFonts w:hint="eastAsia" w:ascii="仿宋_GB2312" w:hAnsi="宋体" w:eastAsia="仿宋_GB2312"/>
          <w:sz w:val="32"/>
          <w:szCs w:val="32"/>
          <w:highlight w:val="none"/>
        </w:rPr>
        <w:t>比上年预算数</w:t>
      </w:r>
      <w:r>
        <w:rPr>
          <w:rFonts w:hint="eastAsia" w:ascii="仿宋_GB2312" w:hAnsi="宋体" w:eastAsia="仿宋_GB2312"/>
          <w:sz w:val="32"/>
          <w:szCs w:val="32"/>
          <w:highlight w:val="none"/>
          <w:lang w:eastAsia="zh-CN"/>
        </w:rPr>
        <w:t>增加</w:t>
      </w:r>
      <w:r>
        <w:rPr>
          <w:rFonts w:hint="eastAsia" w:ascii="仿宋_GB2312" w:hAnsi="宋体" w:eastAsia="仿宋_GB2312"/>
          <w:sz w:val="32"/>
          <w:szCs w:val="32"/>
          <w:highlight w:val="none"/>
          <w:lang w:val="en-US" w:eastAsia="zh-CN"/>
        </w:rPr>
        <w:t>142.5</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eastAsia="zh-CN"/>
        </w:rPr>
        <w:t>，</w:t>
      </w:r>
      <w:r>
        <w:rPr>
          <w:rFonts w:hint="eastAsia" w:ascii="仿宋_GB2312" w:hAnsi="宋体" w:eastAsia="仿宋_GB2312"/>
          <w:sz w:val="32"/>
          <w:szCs w:val="32"/>
          <w:highlight w:val="none"/>
        </w:rPr>
        <w:t>主要原因是</w:t>
      </w:r>
      <w:r>
        <w:rPr>
          <w:rFonts w:hint="eastAsia" w:ascii="仿宋_GB2312" w:hAnsi="宋体" w:eastAsia="仿宋_GB2312"/>
          <w:sz w:val="32"/>
          <w:szCs w:val="32"/>
          <w:highlight w:val="none"/>
          <w:lang w:eastAsia="zh-CN"/>
        </w:rPr>
        <w:t>：项目经费支出增加</w:t>
      </w:r>
      <w:r>
        <w:rPr>
          <w:rFonts w:hint="eastAsia" w:ascii="仿宋_GB2312" w:hAnsi="宋体" w:eastAsia="仿宋_GB2312"/>
          <w:sz w:val="32"/>
          <w:szCs w:val="32"/>
          <w:highlight w:val="none"/>
        </w:rPr>
        <w:t>。</w:t>
      </w:r>
    </w:p>
    <w:p>
      <w:pPr>
        <w:spacing w:line="64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lang w:eastAsia="zh-CN"/>
        </w:rPr>
        <w:t>五</w:t>
      </w:r>
      <w:r>
        <w:rPr>
          <w:rFonts w:hint="eastAsia" w:ascii="黑体" w:hAnsi="黑体" w:eastAsia="黑体"/>
          <w:sz w:val="32"/>
          <w:szCs w:val="32"/>
          <w:highlight w:val="none"/>
        </w:rPr>
        <w:t>、部门“三公”经费情况说明</w:t>
      </w:r>
    </w:p>
    <w:p>
      <w:pPr>
        <w:spacing w:line="640" w:lineRule="exact"/>
        <w:ind w:firstLine="640" w:firstLineChars="200"/>
        <w:rPr>
          <w:rFonts w:ascii="仿宋_GB2312" w:hAnsi="黑体" w:eastAsia="仿宋_GB2312"/>
          <w:sz w:val="32"/>
          <w:szCs w:val="32"/>
          <w:highlight w:val="none"/>
        </w:rPr>
      </w:pPr>
      <w:r>
        <w:rPr>
          <w:rFonts w:hint="eastAsia" w:ascii="仿宋_GB2312" w:hAnsi="黑体" w:eastAsia="仿宋_GB2312"/>
          <w:sz w:val="32"/>
          <w:szCs w:val="32"/>
          <w:highlight w:val="none"/>
        </w:rPr>
        <w:t>2022年“三公”经费预</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元，比上年预算数减少</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lang w:eastAsia="zh-CN"/>
        </w:rPr>
        <w:t>无</w:t>
      </w:r>
      <w:r>
        <w:rPr>
          <w:rFonts w:hint="eastAsia" w:ascii="仿宋_GB2312" w:hAnsi="黑体" w:eastAsia="仿宋_GB2312"/>
          <w:sz w:val="32"/>
          <w:szCs w:val="32"/>
          <w:highlight w:val="none"/>
        </w:rPr>
        <w:t>变化情况。</w:t>
      </w:r>
    </w:p>
    <w:p>
      <w:pPr>
        <w:spacing w:line="640" w:lineRule="exact"/>
        <w:ind w:firstLine="643" w:firstLineChars="200"/>
        <w:rPr>
          <w:rFonts w:ascii="仿宋_GB2312" w:hAnsi="黑体" w:eastAsia="仿宋_GB2312"/>
          <w:color w:val="FF0000"/>
          <w:sz w:val="32"/>
          <w:szCs w:val="32"/>
          <w:highlight w:val="none"/>
        </w:rPr>
      </w:pPr>
      <w:r>
        <w:rPr>
          <w:rFonts w:hint="eastAsia" w:ascii="楷体_GB2312" w:hAnsi="黑体" w:eastAsia="楷体_GB2312"/>
          <w:b/>
          <w:sz w:val="32"/>
          <w:szCs w:val="32"/>
          <w:highlight w:val="none"/>
        </w:rPr>
        <w:t>（一）因公出国（境）费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元，比上年预算数减少</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lang w:eastAsia="zh-CN"/>
        </w:rPr>
        <w:t>无</w:t>
      </w:r>
      <w:r>
        <w:rPr>
          <w:rFonts w:hint="eastAsia" w:ascii="仿宋_GB2312" w:hAnsi="黑体" w:eastAsia="仿宋_GB2312"/>
          <w:sz w:val="32"/>
          <w:szCs w:val="32"/>
          <w:highlight w:val="none"/>
        </w:rPr>
        <w:t>变化情况。</w:t>
      </w:r>
    </w:p>
    <w:p>
      <w:pPr>
        <w:spacing w:line="640" w:lineRule="exact"/>
        <w:ind w:firstLine="643" w:firstLineChars="200"/>
        <w:rPr>
          <w:rFonts w:ascii="仿宋_GB2312" w:hAnsi="黑体" w:eastAsia="仿宋_GB2312"/>
          <w:color w:val="FF0000"/>
          <w:sz w:val="32"/>
          <w:szCs w:val="32"/>
          <w:highlight w:val="none"/>
        </w:rPr>
      </w:pPr>
      <w:r>
        <w:rPr>
          <w:rFonts w:hint="eastAsia" w:ascii="楷体_GB2312" w:hAnsi="黑体" w:eastAsia="楷体_GB2312"/>
          <w:b/>
          <w:sz w:val="32"/>
          <w:szCs w:val="32"/>
          <w:highlight w:val="none"/>
        </w:rPr>
        <w:t>（二）公务接待费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lang w:eastAsia="zh-CN"/>
        </w:rPr>
        <w:t>无</w:t>
      </w:r>
      <w:r>
        <w:rPr>
          <w:rFonts w:hint="eastAsia" w:ascii="仿宋_GB2312" w:hAnsi="黑体" w:eastAsia="仿宋_GB2312"/>
          <w:sz w:val="32"/>
          <w:szCs w:val="32"/>
          <w:highlight w:val="none"/>
        </w:rPr>
        <w:t>变化情况。</w:t>
      </w:r>
    </w:p>
    <w:p>
      <w:pPr>
        <w:spacing w:line="640" w:lineRule="exact"/>
        <w:ind w:firstLine="643" w:firstLineChars="200"/>
        <w:rPr>
          <w:rFonts w:ascii="仿宋_GB2312" w:hAnsi="黑体" w:eastAsia="仿宋_GB2312"/>
          <w:color w:val="FF0000"/>
          <w:sz w:val="32"/>
          <w:szCs w:val="32"/>
          <w:highlight w:val="none"/>
        </w:rPr>
      </w:pPr>
      <w:r>
        <w:rPr>
          <w:rFonts w:hint="eastAsia" w:ascii="楷体_GB2312" w:hAnsi="黑体" w:eastAsia="楷体_GB2312"/>
          <w:b/>
          <w:sz w:val="32"/>
          <w:szCs w:val="32"/>
          <w:highlight w:val="none"/>
        </w:rPr>
        <w:t>（三）公务用车购置和运行</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元，比上年预算数增加</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元，其中：公务用车购置费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元，比变化情况；公务用车运行费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元，比上年预算数增长</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lang w:eastAsia="zh-CN"/>
        </w:rPr>
        <w:t>，</w:t>
      </w:r>
      <w:r>
        <w:rPr>
          <w:rFonts w:hint="eastAsia" w:ascii="仿宋_GB2312" w:hAnsi="黑体" w:eastAsia="仿宋_GB2312"/>
          <w:sz w:val="32"/>
          <w:szCs w:val="32"/>
          <w:highlight w:val="none"/>
        </w:rPr>
        <w:t>，</w:t>
      </w:r>
      <w:r>
        <w:rPr>
          <w:rFonts w:hint="eastAsia" w:ascii="仿宋_GB2312" w:hAnsi="黑体" w:eastAsia="仿宋_GB2312"/>
          <w:sz w:val="32"/>
          <w:szCs w:val="32"/>
          <w:highlight w:val="none"/>
          <w:lang w:eastAsia="zh-CN"/>
        </w:rPr>
        <w:t>无</w:t>
      </w:r>
      <w:r>
        <w:rPr>
          <w:rFonts w:hint="eastAsia" w:ascii="仿宋_GB2312" w:hAnsi="黑体" w:eastAsia="仿宋_GB2312"/>
          <w:sz w:val="32"/>
          <w:szCs w:val="32"/>
          <w:highlight w:val="none"/>
        </w:rPr>
        <w:t>变化情况。</w:t>
      </w:r>
    </w:p>
    <w:p>
      <w:pPr>
        <w:spacing w:line="640" w:lineRule="exact"/>
        <w:ind w:firstLine="640" w:firstLineChars="200"/>
        <w:rPr>
          <w:rFonts w:ascii="仿宋_GB2312" w:hAnsi="黑体" w:eastAsia="仿宋_GB2312"/>
          <w:sz w:val="32"/>
          <w:szCs w:val="32"/>
          <w:highlight w:val="none"/>
        </w:rPr>
      </w:pPr>
      <w:r>
        <w:rPr>
          <w:rFonts w:hint="eastAsia" w:ascii="仿宋_GB2312" w:hAnsi="黑体" w:eastAsia="仿宋_GB2312"/>
          <w:color w:val="FF0000"/>
          <w:sz w:val="32"/>
          <w:szCs w:val="32"/>
          <w:highlight w:val="none"/>
        </w:rPr>
        <w:t xml:space="preserve"> </w:t>
      </w:r>
      <w:r>
        <w:rPr>
          <w:rFonts w:hint="eastAsia" w:ascii="楷体_GB2312" w:hAnsi="黑体" w:eastAsia="楷体_GB2312"/>
          <w:b/>
          <w:sz w:val="32"/>
          <w:szCs w:val="32"/>
          <w:highlight w:val="none"/>
        </w:rPr>
        <w:t>(四）会议费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元，比上年预算数减少</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lang w:eastAsia="zh-CN"/>
        </w:rPr>
        <w:t>无</w:t>
      </w:r>
      <w:r>
        <w:rPr>
          <w:rFonts w:hint="eastAsia" w:ascii="仿宋_GB2312" w:hAnsi="黑体" w:eastAsia="仿宋_GB2312"/>
          <w:sz w:val="32"/>
          <w:szCs w:val="32"/>
          <w:highlight w:val="none"/>
        </w:rPr>
        <w:t>变化情况。</w:t>
      </w:r>
    </w:p>
    <w:p>
      <w:pPr>
        <w:spacing w:line="640" w:lineRule="exact"/>
        <w:ind w:firstLine="640" w:firstLineChars="200"/>
        <w:rPr>
          <w:rFonts w:ascii="仿宋_GB2312" w:hAnsi="黑体" w:eastAsia="仿宋_GB2312"/>
          <w:sz w:val="32"/>
          <w:szCs w:val="32"/>
          <w:highlight w:val="none"/>
        </w:rPr>
      </w:pPr>
      <w:r>
        <w:rPr>
          <w:rFonts w:hint="eastAsia" w:ascii="仿宋_GB2312" w:hAnsi="黑体" w:eastAsia="仿宋_GB2312"/>
          <w:color w:val="FF0000"/>
          <w:sz w:val="32"/>
          <w:szCs w:val="32"/>
          <w:highlight w:val="none"/>
        </w:rPr>
        <w:t xml:space="preserve"> </w:t>
      </w:r>
      <w:r>
        <w:rPr>
          <w:rFonts w:hint="eastAsia" w:ascii="楷体_GB2312" w:hAnsi="黑体" w:eastAsia="楷体_GB2312"/>
          <w:b/>
          <w:sz w:val="32"/>
          <w:szCs w:val="32"/>
          <w:highlight w:val="none"/>
        </w:rPr>
        <w:t>(五) 培训费</w:t>
      </w:r>
      <w:r>
        <w:rPr>
          <w:rFonts w:hint="eastAsia" w:ascii="楷体_GB2312" w:hAnsi="黑体" w:eastAsia="楷体_GB2312"/>
          <w:b/>
          <w:sz w:val="32"/>
          <w:szCs w:val="32"/>
          <w:highlight w:val="none"/>
          <w:lang w:val="en-US" w:eastAsia="zh-CN"/>
        </w:rPr>
        <w:t>0</w:t>
      </w:r>
      <w:r>
        <w:rPr>
          <w:rFonts w:hint="eastAsia" w:ascii="仿宋_GB2312" w:hAnsi="黑体" w:eastAsia="仿宋_GB2312"/>
          <w:sz w:val="32"/>
          <w:szCs w:val="32"/>
          <w:highlight w:val="none"/>
        </w:rPr>
        <w:t>元，比上年预算数减少</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lang w:eastAsia="zh-CN"/>
        </w:rPr>
        <w:t>无</w:t>
      </w:r>
      <w:r>
        <w:rPr>
          <w:rFonts w:hint="eastAsia" w:ascii="仿宋_GB2312" w:hAnsi="黑体" w:eastAsia="仿宋_GB2312"/>
          <w:sz w:val="32"/>
          <w:szCs w:val="32"/>
          <w:highlight w:val="none"/>
        </w:rPr>
        <w:t>变化情况。</w:t>
      </w:r>
    </w:p>
    <w:p>
      <w:pPr>
        <w:spacing w:line="64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lang w:eastAsia="zh-CN"/>
        </w:rPr>
        <w:t>六</w:t>
      </w:r>
      <w:r>
        <w:rPr>
          <w:rFonts w:hint="eastAsia" w:ascii="黑体" w:hAnsi="黑体" w:eastAsia="黑体"/>
          <w:sz w:val="32"/>
          <w:szCs w:val="32"/>
          <w:highlight w:val="none"/>
        </w:rPr>
        <w:t>、部门机关运行经费及政府采购预算情况说明</w:t>
      </w:r>
    </w:p>
    <w:p>
      <w:pPr>
        <w:spacing w:line="640" w:lineRule="exact"/>
        <w:ind w:firstLine="640" w:firstLineChars="200"/>
        <w:rPr>
          <w:rFonts w:hint="eastAsia" w:ascii="仿宋_GB2312" w:hAnsi="黑体" w:eastAsia="仿宋_GB2312"/>
          <w:sz w:val="32"/>
          <w:szCs w:val="32"/>
          <w:highlight w:val="none"/>
        </w:rPr>
      </w:pPr>
      <w:r>
        <w:rPr>
          <w:rFonts w:hint="eastAsia" w:ascii="仿宋_GB2312" w:hAnsi="黑体" w:eastAsia="仿宋_GB2312"/>
          <w:sz w:val="32"/>
          <w:szCs w:val="32"/>
          <w:highlight w:val="none"/>
        </w:rPr>
        <w:t>2022年机关运行经费预算</w:t>
      </w:r>
      <w:r>
        <w:rPr>
          <w:rFonts w:hint="eastAsia" w:ascii="仿宋_GB2312" w:hAnsi="黑体" w:eastAsia="仿宋_GB2312"/>
          <w:sz w:val="32"/>
          <w:szCs w:val="32"/>
          <w:highlight w:val="none"/>
          <w:lang w:val="en-US" w:eastAsia="zh-CN"/>
        </w:rPr>
        <w:t>240000.00</w:t>
      </w:r>
      <w:r>
        <w:rPr>
          <w:rFonts w:hint="eastAsia" w:ascii="仿宋_GB2312" w:hAnsi="黑体" w:eastAsia="仿宋_GB2312"/>
          <w:sz w:val="32"/>
          <w:szCs w:val="32"/>
          <w:highlight w:val="none"/>
        </w:rPr>
        <w:t>元，比上年预算数</w:t>
      </w:r>
      <w:r>
        <w:rPr>
          <w:rFonts w:hint="eastAsia" w:ascii="仿宋_GB2312" w:hAnsi="黑体" w:eastAsia="仿宋_GB2312"/>
          <w:sz w:val="32"/>
          <w:szCs w:val="32"/>
          <w:highlight w:val="none"/>
          <w:lang w:eastAsia="zh-CN"/>
        </w:rPr>
        <w:t>减少</w:t>
      </w:r>
      <w:r>
        <w:rPr>
          <w:rFonts w:hint="eastAsia" w:ascii="仿宋_GB2312" w:hAnsi="黑体" w:eastAsia="仿宋_GB2312"/>
          <w:sz w:val="32"/>
          <w:szCs w:val="32"/>
          <w:highlight w:val="none"/>
          <w:lang w:val="en-US" w:eastAsia="zh-CN"/>
        </w:rPr>
        <w:t>116150</w:t>
      </w:r>
      <w:r>
        <w:rPr>
          <w:rFonts w:hint="eastAsia" w:ascii="仿宋_GB2312" w:hAnsi="黑体" w:eastAsia="仿宋_GB2312"/>
          <w:sz w:val="32"/>
          <w:szCs w:val="32"/>
          <w:highlight w:val="none"/>
        </w:rPr>
        <w:t>元。政府采购预算</w:t>
      </w:r>
      <w:r>
        <w:rPr>
          <w:rFonts w:hint="eastAsia" w:ascii="仿宋_GB2312" w:hAnsi="黑体" w:eastAsia="仿宋_GB2312"/>
          <w:sz w:val="32"/>
          <w:szCs w:val="32"/>
          <w:highlight w:val="none"/>
          <w:lang w:val="en-US" w:eastAsia="zh-CN"/>
        </w:rPr>
        <w:t>272000.00</w:t>
      </w:r>
      <w:r>
        <w:rPr>
          <w:rFonts w:hint="eastAsia" w:ascii="仿宋_GB2312" w:hAnsi="黑体" w:eastAsia="仿宋_GB2312"/>
          <w:sz w:val="32"/>
          <w:szCs w:val="32"/>
          <w:highlight w:val="none"/>
        </w:rPr>
        <w:t>元，比上年预算数</w:t>
      </w:r>
      <w:r>
        <w:rPr>
          <w:rFonts w:hint="eastAsia" w:ascii="仿宋_GB2312" w:hAnsi="黑体" w:eastAsia="仿宋_GB2312"/>
          <w:sz w:val="32"/>
          <w:szCs w:val="32"/>
          <w:highlight w:val="none"/>
          <w:lang w:eastAsia="zh-CN"/>
        </w:rPr>
        <w:t>减少</w:t>
      </w:r>
      <w:r>
        <w:rPr>
          <w:rFonts w:hint="eastAsia" w:ascii="仿宋_GB2312" w:hAnsi="黑体" w:eastAsia="仿宋_GB2312"/>
          <w:sz w:val="32"/>
          <w:szCs w:val="32"/>
          <w:highlight w:val="none"/>
          <w:lang w:val="en-US" w:eastAsia="zh-CN"/>
        </w:rPr>
        <w:t>428000</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lang w:eastAsia="zh-CN"/>
        </w:rPr>
        <w:t>主要原因是：单位政府采购预算减少</w:t>
      </w:r>
      <w:r>
        <w:rPr>
          <w:rFonts w:hint="eastAsia" w:ascii="仿宋_GB2312" w:hAnsi="黑体" w:eastAsia="仿宋_GB2312"/>
          <w:sz w:val="32"/>
          <w:szCs w:val="32"/>
          <w:highlight w:val="none"/>
        </w:rPr>
        <w:t>，其中：政府采购货物预算</w:t>
      </w:r>
      <w:r>
        <w:rPr>
          <w:rFonts w:hint="eastAsia" w:ascii="仿宋_GB2312" w:hAnsi="黑体" w:eastAsia="仿宋_GB2312"/>
          <w:sz w:val="32"/>
          <w:szCs w:val="32"/>
          <w:highlight w:val="none"/>
          <w:lang w:val="en-US" w:eastAsia="zh-CN"/>
        </w:rPr>
        <w:t>172000</w:t>
      </w:r>
      <w:r>
        <w:rPr>
          <w:rFonts w:hint="eastAsia" w:ascii="仿宋_GB2312" w:hAnsi="黑体" w:eastAsia="仿宋_GB2312"/>
          <w:sz w:val="32"/>
          <w:szCs w:val="32"/>
          <w:highlight w:val="none"/>
        </w:rPr>
        <w:t>元，政府采购工程预算</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元，政府采购服务预算</w:t>
      </w:r>
      <w:r>
        <w:rPr>
          <w:rFonts w:hint="eastAsia" w:ascii="仿宋_GB2312" w:hAnsi="黑体" w:eastAsia="仿宋_GB2312"/>
          <w:sz w:val="32"/>
          <w:szCs w:val="32"/>
          <w:highlight w:val="none"/>
          <w:lang w:val="en-US" w:eastAsia="zh-CN"/>
        </w:rPr>
        <w:t>100000</w:t>
      </w:r>
      <w:r>
        <w:rPr>
          <w:rFonts w:hint="eastAsia" w:ascii="仿宋_GB2312" w:hAnsi="黑体" w:eastAsia="仿宋_GB2312"/>
          <w:sz w:val="32"/>
          <w:szCs w:val="32"/>
          <w:highlight w:val="none"/>
        </w:rPr>
        <w:t>元。</w:t>
      </w:r>
      <w:bookmarkStart w:id="0" w:name="_GoBack"/>
      <w:bookmarkEnd w:id="0"/>
    </w:p>
    <w:p>
      <w:pPr>
        <w:spacing w:line="640" w:lineRule="exact"/>
        <w:ind w:firstLine="640" w:firstLineChars="200"/>
        <w:rPr>
          <w:rFonts w:hint="eastAsia" w:ascii="仿宋_GB2312" w:hAnsi="黑体" w:eastAsia="仿宋_GB2312"/>
          <w:sz w:val="32"/>
          <w:szCs w:val="32"/>
          <w:highlight w:val="none"/>
        </w:rPr>
      </w:pPr>
    </w:p>
    <w:p>
      <w:pPr>
        <w:spacing w:line="640" w:lineRule="exact"/>
        <w:ind w:firstLine="640" w:firstLineChars="200"/>
        <w:rPr>
          <w:rFonts w:hint="eastAsia" w:ascii="仿宋_GB2312" w:hAnsi="黑体" w:eastAsia="仿宋_GB2312"/>
          <w:sz w:val="32"/>
          <w:szCs w:val="32"/>
          <w:highlight w:val="none"/>
        </w:rPr>
      </w:pPr>
    </w:p>
    <w:p>
      <w:pPr>
        <w:spacing w:line="840" w:lineRule="exact"/>
        <w:jc w:val="center"/>
        <w:rPr>
          <w:rFonts w:ascii="仿宋_GB2312" w:hAnsi="黑体" w:eastAsia="仿宋_GB2312"/>
          <w:sz w:val="32"/>
          <w:szCs w:val="32"/>
        </w:rPr>
      </w:pPr>
      <w:r>
        <w:rPr>
          <w:rFonts w:hint="eastAsia" w:ascii="仿宋_GB2312" w:hAnsi="黑体" w:eastAsia="仿宋_GB2312"/>
          <w:b/>
          <w:sz w:val="52"/>
          <w:szCs w:val="52"/>
        </w:rPr>
        <w:t>第四部分  名词解释</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（一）财政拨款收入：</w:t>
      </w:r>
      <w:r>
        <w:rPr>
          <w:rFonts w:ascii="仿宋_GB2312" w:hAnsi="黑体" w:eastAsia="仿宋_GB2312"/>
          <w:sz w:val="32"/>
          <w:szCs w:val="32"/>
        </w:rPr>
        <w:t>指由</w:t>
      </w:r>
      <w:r>
        <w:rPr>
          <w:rFonts w:hint="eastAsia" w:ascii="仿宋_GB2312" w:hAnsi="黑体" w:eastAsia="仿宋_GB2312"/>
          <w:sz w:val="32"/>
          <w:szCs w:val="32"/>
        </w:rPr>
        <w:t>县级</w:t>
      </w:r>
      <w:r>
        <w:rPr>
          <w:rFonts w:ascii="仿宋_GB2312" w:hAnsi="黑体" w:eastAsia="仿宋_GB2312"/>
          <w:sz w:val="32"/>
          <w:szCs w:val="32"/>
        </w:rPr>
        <w:t>财政拨款形成的部门收入。按照现行预算管理制度，</w:t>
      </w:r>
      <w:r>
        <w:rPr>
          <w:rFonts w:hint="eastAsia" w:ascii="仿宋_GB2312" w:hAnsi="黑体" w:eastAsia="仿宋_GB2312"/>
          <w:sz w:val="32"/>
          <w:szCs w:val="32"/>
        </w:rPr>
        <w:t>县级</w:t>
      </w:r>
      <w:r>
        <w:rPr>
          <w:rFonts w:ascii="仿宋_GB2312" w:hAnsi="黑体" w:eastAsia="仿宋_GB2312"/>
          <w:sz w:val="32"/>
          <w:szCs w:val="32"/>
        </w:rPr>
        <w:t>部门预算中反映的财政拨款包括一般公共预算财政拨款和政府性基金预算财政拨款。</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（二）上年结转：</w:t>
      </w:r>
      <w:r>
        <w:rPr>
          <w:rFonts w:ascii="仿宋_GB2312" w:hAnsi="黑体" w:eastAsia="仿宋_GB2312"/>
          <w:sz w:val="32"/>
          <w:szCs w:val="32"/>
        </w:rPr>
        <w:t>指部门和单位以前年度尚未完成，结转到本年度按有关规定继续使用的资金。</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（三）基本支出：</w:t>
      </w:r>
      <w:r>
        <w:rPr>
          <w:rFonts w:ascii="仿宋_GB2312" w:hAnsi="黑体" w:eastAsia="仿宋_GB2312"/>
          <w:sz w:val="32"/>
          <w:szCs w:val="32"/>
        </w:rPr>
        <w:t>指为保障机构正常运转、完成日常工作任务而发生的人员支出和公用支出。</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（四）项目支出：</w:t>
      </w:r>
      <w:r>
        <w:rPr>
          <w:rFonts w:ascii="仿宋_GB2312" w:hAnsi="黑体" w:eastAsia="仿宋_GB2312"/>
          <w:sz w:val="32"/>
          <w:szCs w:val="32"/>
        </w:rPr>
        <w:t>指在基本支出之外为完成特定行政任务和事业发展目标所发生的支出。</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（五）三公经费：</w:t>
      </w:r>
      <w:r>
        <w:rPr>
          <w:rFonts w:ascii="仿宋_GB2312" w:hAnsi="黑体" w:eastAsia="仿宋_GB2312"/>
          <w:sz w:val="32"/>
          <w:szCs w:val="32"/>
        </w:rPr>
        <w:t>是指</w:t>
      </w:r>
      <w:r>
        <w:rPr>
          <w:rFonts w:hint="eastAsia" w:ascii="仿宋_GB2312" w:hAnsi="黑体" w:eastAsia="仿宋_GB2312"/>
          <w:sz w:val="32"/>
          <w:szCs w:val="32"/>
        </w:rPr>
        <w:t>县级</w:t>
      </w:r>
      <w:r>
        <w:rPr>
          <w:rFonts w:ascii="仿宋_GB2312" w:hAnsi="黑体" w:eastAsia="仿宋_GB2312"/>
          <w:sz w:val="32"/>
          <w:szCs w:val="32"/>
        </w:rPr>
        <w:t>部门用财政拨款安排的因公出国（境）费，公务接待费</w:t>
      </w:r>
      <w:r>
        <w:rPr>
          <w:rFonts w:hint="eastAsia" w:ascii="仿宋_GB2312" w:hAnsi="黑体" w:eastAsia="仿宋_GB2312"/>
          <w:sz w:val="32"/>
          <w:szCs w:val="32"/>
        </w:rPr>
        <w:t>，</w:t>
      </w:r>
      <w:r>
        <w:rPr>
          <w:rFonts w:ascii="仿宋_GB2312" w:hAnsi="黑体" w:eastAsia="仿宋_GB2312"/>
          <w:sz w:val="32"/>
          <w:szCs w:val="32"/>
        </w:rPr>
        <w:t>公务用车购置及运行费。</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（六）机关运行经费：</w:t>
      </w:r>
      <w:r>
        <w:rPr>
          <w:rFonts w:ascii="仿宋_GB2312" w:hAnsi="黑体" w:eastAsia="仿宋_GB2312"/>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rPr>
          <w:rFonts w:ascii="仿宋_GB2312" w:hAnsi="黑体" w:eastAsia="仿宋_GB2312"/>
          <w:sz w:val="32"/>
          <w:szCs w:val="32"/>
        </w:rPr>
      </w:pPr>
    </w:p>
    <w:p>
      <w:pPr>
        <w:ind w:firstLine="643" w:firstLineChars="200"/>
        <w:jc w:val="center"/>
        <w:rPr>
          <w:rFonts w:ascii="仿宋_GB2312" w:hAnsi="黑体" w:eastAsia="仿宋_GB2312"/>
          <w:b/>
          <w:bCs/>
          <w:sz w:val="32"/>
          <w:szCs w:val="32"/>
        </w:rPr>
      </w:pPr>
      <w:r>
        <w:rPr>
          <w:rFonts w:hint="eastAsia" w:ascii="仿宋_GB2312" w:hAnsi="黑体" w:eastAsia="仿宋_GB2312"/>
          <w:b/>
          <w:bCs/>
          <w:sz w:val="32"/>
          <w:szCs w:val="32"/>
        </w:rPr>
        <w:t>填表说明</w:t>
      </w:r>
    </w:p>
    <w:p>
      <w:pPr>
        <w:ind w:firstLine="640" w:firstLineChars="200"/>
        <w:rPr>
          <w:rFonts w:ascii="仿宋_GB2312" w:hAnsi="黑体" w:eastAsia="仿宋_GB2312"/>
          <w:sz w:val="32"/>
          <w:szCs w:val="32"/>
        </w:rPr>
      </w:pPr>
      <w:r>
        <w:rPr>
          <w:rFonts w:hint="eastAsia" w:ascii="仿宋_GB2312" w:hAnsi="黑体" w:eastAsia="仿宋_GB2312"/>
          <w:sz w:val="32"/>
          <w:szCs w:val="32"/>
        </w:rPr>
        <w:t>1.本参照表样是严格按照财政部和省财政厅部门预算公开的要求设计的，已经删减了一些比较复杂的内容，能简化的已经尽可能简化，各部门必须严格按本表样公开。</w:t>
      </w:r>
    </w:p>
    <w:p>
      <w:pPr>
        <w:ind w:firstLine="640" w:firstLineChars="200"/>
        <w:rPr>
          <w:rFonts w:ascii="仿宋_GB2312" w:hAnsi="黑体" w:eastAsia="仿宋_GB2312"/>
          <w:sz w:val="32"/>
          <w:szCs w:val="32"/>
        </w:rPr>
      </w:pPr>
      <w:r>
        <w:rPr>
          <w:rFonts w:hint="eastAsia" w:ascii="仿宋_GB2312" w:hAnsi="黑体" w:eastAsia="仿宋_GB2312"/>
          <w:sz w:val="32"/>
          <w:szCs w:val="32"/>
        </w:rPr>
        <w:t>2.使用部门预算公开参照表样，说明中填列的当年预算数，必须与公开表格数据一致，使用上年预算数计算增减额和增减百分比，必须准确无误，使用上年预算数必须与上年公开数据一致，避免因数据不一致带来不必要的问题。</w:t>
      </w:r>
    </w:p>
    <w:p>
      <w:pPr>
        <w:ind w:firstLine="640"/>
        <w:rPr>
          <w:rFonts w:ascii="仿宋_GB2312" w:hAnsi="黑体" w:eastAsia="仿宋_GB2312"/>
          <w:sz w:val="32"/>
          <w:szCs w:val="32"/>
        </w:rPr>
      </w:pPr>
      <w:r>
        <w:rPr>
          <w:rFonts w:hint="eastAsia" w:ascii="仿宋_GB2312" w:hAnsi="黑体" w:eastAsia="仿宋_GB2312"/>
          <w:sz w:val="32"/>
          <w:szCs w:val="32"/>
        </w:rPr>
        <w:t>3.参照表样中标红的内容以及本页内容，是对部门在编写公开说明时的一些提示，说明完成后，标红内容全部删除。</w:t>
      </w:r>
    </w:p>
    <w:p>
      <w:pPr>
        <w:ind w:firstLine="640"/>
        <w:rPr>
          <w:rFonts w:ascii="仿宋_GB2312" w:hAnsi="黑体" w:eastAsia="仿宋_GB2312"/>
          <w:sz w:val="32"/>
          <w:szCs w:val="32"/>
        </w:rPr>
      </w:pPr>
      <w:r>
        <w:rPr>
          <w:rFonts w:hint="eastAsia" w:ascii="仿宋_GB2312" w:hAnsi="黑体" w:eastAsia="仿宋_GB2312"/>
          <w:sz w:val="32"/>
          <w:szCs w:val="32"/>
        </w:rPr>
        <w:t>4.各业务股室在审核各部门上报的部门预算公开资料中，必须注意：预算公开表格是否齐全（空表也必须公开并说明无此项支出）、数据是否准确，表格中是否有**等容易引起歧义的字符（去年省财政厅检查组对此已提出异议）；公开说明是否规范齐全，是否按类款项详细说明，是否存在省略号、不必要的括号、提示的红字等未删除的东西。</w:t>
      </w:r>
    </w:p>
    <w:sectPr>
      <w:pgSz w:w="16838" w:h="11906" w:orient="landscape"/>
      <w:pgMar w:top="1797" w:right="1440" w:bottom="1797"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1A608F5"/>
    <w:multiLevelType w:val="multilevel"/>
    <w:tmpl w:val="51A608F5"/>
    <w:lvl w:ilvl="0" w:tentative="0">
      <w:start w:val="1"/>
      <w:numFmt w:val="japaneseCounting"/>
      <w:lvlText w:val="%1、"/>
      <w:lvlJc w:val="left"/>
      <w:pPr>
        <w:tabs>
          <w:tab w:val="left" w:pos="1360"/>
        </w:tabs>
        <w:ind w:left="1360" w:hanging="720"/>
      </w:pPr>
      <w:rPr>
        <w:rFonts w:hint="default"/>
      </w:rPr>
    </w:lvl>
    <w:lvl w:ilvl="1" w:tentative="0">
      <w:start w:val="1"/>
      <w:numFmt w:val="lowerLetter"/>
      <w:lvlText w:val="%2)"/>
      <w:lvlJc w:val="left"/>
      <w:pPr>
        <w:tabs>
          <w:tab w:val="left" w:pos="1480"/>
        </w:tabs>
        <w:ind w:left="1480" w:hanging="420"/>
      </w:pPr>
    </w:lvl>
    <w:lvl w:ilvl="2" w:tentative="0">
      <w:start w:val="1"/>
      <w:numFmt w:val="lowerRoman"/>
      <w:lvlText w:val="%3."/>
      <w:lvlJc w:val="right"/>
      <w:pPr>
        <w:tabs>
          <w:tab w:val="left" w:pos="1900"/>
        </w:tabs>
        <w:ind w:left="1900" w:hanging="420"/>
      </w:pPr>
    </w:lvl>
    <w:lvl w:ilvl="3" w:tentative="0">
      <w:start w:val="1"/>
      <w:numFmt w:val="decimal"/>
      <w:lvlText w:val="%4."/>
      <w:lvlJc w:val="left"/>
      <w:pPr>
        <w:tabs>
          <w:tab w:val="left" w:pos="2320"/>
        </w:tabs>
        <w:ind w:left="2320" w:hanging="420"/>
      </w:pPr>
    </w:lvl>
    <w:lvl w:ilvl="4" w:tentative="0">
      <w:start w:val="1"/>
      <w:numFmt w:val="lowerLetter"/>
      <w:lvlText w:val="%5)"/>
      <w:lvlJc w:val="left"/>
      <w:pPr>
        <w:tabs>
          <w:tab w:val="left" w:pos="2740"/>
        </w:tabs>
        <w:ind w:left="2740" w:hanging="420"/>
      </w:pPr>
    </w:lvl>
    <w:lvl w:ilvl="5" w:tentative="0">
      <w:start w:val="1"/>
      <w:numFmt w:val="lowerRoman"/>
      <w:lvlText w:val="%6."/>
      <w:lvlJc w:val="right"/>
      <w:pPr>
        <w:tabs>
          <w:tab w:val="left" w:pos="3160"/>
        </w:tabs>
        <w:ind w:left="3160" w:hanging="420"/>
      </w:pPr>
    </w:lvl>
    <w:lvl w:ilvl="6" w:tentative="0">
      <w:start w:val="1"/>
      <w:numFmt w:val="decimal"/>
      <w:lvlText w:val="%7."/>
      <w:lvlJc w:val="left"/>
      <w:pPr>
        <w:tabs>
          <w:tab w:val="left" w:pos="3580"/>
        </w:tabs>
        <w:ind w:left="3580" w:hanging="420"/>
      </w:pPr>
    </w:lvl>
    <w:lvl w:ilvl="7" w:tentative="0">
      <w:start w:val="1"/>
      <w:numFmt w:val="lowerLetter"/>
      <w:lvlText w:val="%8)"/>
      <w:lvlJc w:val="left"/>
      <w:pPr>
        <w:tabs>
          <w:tab w:val="left" w:pos="4000"/>
        </w:tabs>
        <w:ind w:left="4000" w:hanging="420"/>
      </w:pPr>
    </w:lvl>
    <w:lvl w:ilvl="8" w:tentative="0">
      <w:start w:val="1"/>
      <w:numFmt w:val="lowerRoman"/>
      <w:lvlText w:val="%9."/>
      <w:lvlJc w:val="right"/>
      <w:pPr>
        <w:tabs>
          <w:tab w:val="left" w:pos="4420"/>
        </w:tabs>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k2ODNmNDE1NWJmZWRiNDdlOTMwNjk4ZmI5MGRkMzMifQ=="/>
  </w:docVars>
  <w:rsids>
    <w:rsidRoot w:val="00172A27"/>
    <w:rsid w:val="0003745A"/>
    <w:rsid w:val="00040BCD"/>
    <w:rsid w:val="000635F4"/>
    <w:rsid w:val="0007134C"/>
    <w:rsid w:val="0008140C"/>
    <w:rsid w:val="000D6DF6"/>
    <w:rsid w:val="00177759"/>
    <w:rsid w:val="001B1C65"/>
    <w:rsid w:val="001C1A02"/>
    <w:rsid w:val="001E4A08"/>
    <w:rsid w:val="00214A31"/>
    <w:rsid w:val="00242CF2"/>
    <w:rsid w:val="002E18D8"/>
    <w:rsid w:val="002F60F3"/>
    <w:rsid w:val="00311351"/>
    <w:rsid w:val="0032725E"/>
    <w:rsid w:val="00394CB3"/>
    <w:rsid w:val="003C6C02"/>
    <w:rsid w:val="003F4675"/>
    <w:rsid w:val="004065F3"/>
    <w:rsid w:val="00426E7F"/>
    <w:rsid w:val="004D7269"/>
    <w:rsid w:val="0054600D"/>
    <w:rsid w:val="0055484E"/>
    <w:rsid w:val="005A73EE"/>
    <w:rsid w:val="005B7BC1"/>
    <w:rsid w:val="005D203F"/>
    <w:rsid w:val="005E54B6"/>
    <w:rsid w:val="005F2AE1"/>
    <w:rsid w:val="005F5BDC"/>
    <w:rsid w:val="00646AEB"/>
    <w:rsid w:val="00666618"/>
    <w:rsid w:val="006735BA"/>
    <w:rsid w:val="006956AB"/>
    <w:rsid w:val="006A6616"/>
    <w:rsid w:val="006D45CE"/>
    <w:rsid w:val="006E0D73"/>
    <w:rsid w:val="00721BBD"/>
    <w:rsid w:val="007926A3"/>
    <w:rsid w:val="007A4BFC"/>
    <w:rsid w:val="007D20F6"/>
    <w:rsid w:val="00805E3C"/>
    <w:rsid w:val="0081299C"/>
    <w:rsid w:val="0086585A"/>
    <w:rsid w:val="008A308B"/>
    <w:rsid w:val="009A1F81"/>
    <w:rsid w:val="009F1F5C"/>
    <w:rsid w:val="00A039E4"/>
    <w:rsid w:val="00A55333"/>
    <w:rsid w:val="00AE2AA5"/>
    <w:rsid w:val="00B37D63"/>
    <w:rsid w:val="00B67550"/>
    <w:rsid w:val="00B7120D"/>
    <w:rsid w:val="00B97330"/>
    <w:rsid w:val="00BD2423"/>
    <w:rsid w:val="00C469FC"/>
    <w:rsid w:val="00CA41AB"/>
    <w:rsid w:val="00CB5559"/>
    <w:rsid w:val="00CC2B7C"/>
    <w:rsid w:val="00CF06A6"/>
    <w:rsid w:val="00DE66F0"/>
    <w:rsid w:val="00E0384C"/>
    <w:rsid w:val="00E075CD"/>
    <w:rsid w:val="00E265F4"/>
    <w:rsid w:val="00E46B0B"/>
    <w:rsid w:val="00E760B0"/>
    <w:rsid w:val="00E920D8"/>
    <w:rsid w:val="00E94B79"/>
    <w:rsid w:val="00EA085C"/>
    <w:rsid w:val="00F00669"/>
    <w:rsid w:val="00F3279B"/>
    <w:rsid w:val="00F42002"/>
    <w:rsid w:val="00F67610"/>
    <w:rsid w:val="00F9776C"/>
    <w:rsid w:val="047D2F82"/>
    <w:rsid w:val="060021DC"/>
    <w:rsid w:val="064D410C"/>
    <w:rsid w:val="06746E88"/>
    <w:rsid w:val="06BE6228"/>
    <w:rsid w:val="07EA6CFD"/>
    <w:rsid w:val="0A116753"/>
    <w:rsid w:val="0B896034"/>
    <w:rsid w:val="0D824E94"/>
    <w:rsid w:val="0E6F37D9"/>
    <w:rsid w:val="112936A0"/>
    <w:rsid w:val="1250416D"/>
    <w:rsid w:val="13A24B36"/>
    <w:rsid w:val="13B82E0D"/>
    <w:rsid w:val="141D039C"/>
    <w:rsid w:val="17432B85"/>
    <w:rsid w:val="1909264A"/>
    <w:rsid w:val="198119BE"/>
    <w:rsid w:val="1B78482C"/>
    <w:rsid w:val="1C6D1D31"/>
    <w:rsid w:val="1D654F62"/>
    <w:rsid w:val="1E1B395C"/>
    <w:rsid w:val="204B1966"/>
    <w:rsid w:val="205A7194"/>
    <w:rsid w:val="210F4887"/>
    <w:rsid w:val="22273516"/>
    <w:rsid w:val="2233056C"/>
    <w:rsid w:val="23513756"/>
    <w:rsid w:val="250F1490"/>
    <w:rsid w:val="26C20B3D"/>
    <w:rsid w:val="292A0545"/>
    <w:rsid w:val="2B26350E"/>
    <w:rsid w:val="2B5C1C56"/>
    <w:rsid w:val="2BCF3D4E"/>
    <w:rsid w:val="2D550DF7"/>
    <w:rsid w:val="2DBA0562"/>
    <w:rsid w:val="31352995"/>
    <w:rsid w:val="31E13302"/>
    <w:rsid w:val="32A96D1A"/>
    <w:rsid w:val="34032DB0"/>
    <w:rsid w:val="34B82D6F"/>
    <w:rsid w:val="373703E1"/>
    <w:rsid w:val="37580FE7"/>
    <w:rsid w:val="396616D2"/>
    <w:rsid w:val="39A71DAE"/>
    <w:rsid w:val="3BF3012A"/>
    <w:rsid w:val="3D8C4411"/>
    <w:rsid w:val="3F9E114C"/>
    <w:rsid w:val="40465DD0"/>
    <w:rsid w:val="40CC1D5D"/>
    <w:rsid w:val="416268DB"/>
    <w:rsid w:val="452F6292"/>
    <w:rsid w:val="47AF499B"/>
    <w:rsid w:val="484D612A"/>
    <w:rsid w:val="48A9072C"/>
    <w:rsid w:val="4D903B41"/>
    <w:rsid w:val="4DA8126D"/>
    <w:rsid w:val="4DD72226"/>
    <w:rsid w:val="4EA300AE"/>
    <w:rsid w:val="50622DD8"/>
    <w:rsid w:val="51C77E42"/>
    <w:rsid w:val="52EB2DC7"/>
    <w:rsid w:val="54B1376D"/>
    <w:rsid w:val="56311F34"/>
    <w:rsid w:val="564548F7"/>
    <w:rsid w:val="565305B1"/>
    <w:rsid w:val="56C73340"/>
    <w:rsid w:val="57626D8B"/>
    <w:rsid w:val="59441D15"/>
    <w:rsid w:val="5A3206F2"/>
    <w:rsid w:val="5CD96486"/>
    <w:rsid w:val="61EF1B1B"/>
    <w:rsid w:val="621A3658"/>
    <w:rsid w:val="62B62979"/>
    <w:rsid w:val="64252B6E"/>
    <w:rsid w:val="651520BC"/>
    <w:rsid w:val="661A6258"/>
    <w:rsid w:val="6A136FDE"/>
    <w:rsid w:val="6A752B54"/>
    <w:rsid w:val="6EA6456E"/>
    <w:rsid w:val="73C709AD"/>
    <w:rsid w:val="74517818"/>
    <w:rsid w:val="75840CDB"/>
    <w:rsid w:val="75FA50B5"/>
    <w:rsid w:val="77781E83"/>
    <w:rsid w:val="78062181"/>
    <w:rsid w:val="794965D5"/>
    <w:rsid w:val="79D61FC6"/>
    <w:rsid w:val="7CF82ADB"/>
    <w:rsid w:val="7F2E25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qFormat/>
    <w:uiPriority w:val="0"/>
    <w:pPr>
      <w:ind w:left="100" w:leftChars="2500"/>
    </w:p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9">
    <w:name w:val="Hyperlink"/>
    <w:uiPriority w:val="0"/>
    <w:rPr>
      <w:color w:val="0000FF"/>
      <w:u w:val="single"/>
    </w:rPr>
  </w:style>
  <w:style w:type="character" w:customStyle="1" w:styleId="10">
    <w:name w:val="页眉 Char"/>
    <w:link w:val="4"/>
    <w:qFormat/>
    <w:uiPriority w:val="0"/>
    <w:rPr>
      <w:kern w:val="2"/>
      <w:sz w:val="18"/>
      <w:szCs w:val="18"/>
    </w:rPr>
  </w:style>
  <w:style w:type="character" w:customStyle="1" w:styleId="11">
    <w:name w:val="页脚 Char"/>
    <w:link w:val="3"/>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11</Pages>
  <Words>2765</Words>
  <Characters>3102</Characters>
  <Lines>16</Lines>
  <Paragraphs>4</Paragraphs>
  <TotalTime>4</TotalTime>
  <ScaleCrop>false</ScaleCrop>
  <LinksUpToDate>false</LinksUpToDate>
  <CharactersWithSpaces>3186</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2017-03-15T03:43:00Z</dcterms:created>
  <dc:creator>Windows 用户</dc:creator>
  <cp:lastModifiedBy>Administrator</cp:lastModifiedBy>
  <cp:lastPrinted>2022-08-18T02:46:00Z</cp:lastPrinted>
  <dcterms:modified xsi:type="dcterms:W3CDTF">2023-06-07T09:43:03Z</dcterms:modified>
  <dc:title>临夏回族自治州**局部门预算（此处请用单位全称，居中）</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206568975BD5417AABBF2D08CC636771_13</vt:lpwstr>
  </property>
</Properties>
</file>