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52"/>
          <w:szCs w:val="52"/>
          <w:highlight w:val="none"/>
        </w:rPr>
      </w:pPr>
    </w:p>
    <w:p>
      <w:pPr>
        <w:jc w:val="center"/>
        <w:rPr>
          <w:rFonts w:ascii="方正小标宋简体" w:eastAsia="方正小标宋简体"/>
          <w:color w:val="auto"/>
          <w:sz w:val="52"/>
          <w:szCs w:val="52"/>
          <w:highlight w:val="none"/>
        </w:rPr>
      </w:pPr>
    </w:p>
    <w:p>
      <w:pPr>
        <w:jc w:val="center"/>
        <w:rPr>
          <w:rFonts w:ascii="楷体" w:hAnsi="楷体" w:eastAsia="楷体"/>
          <w:color w:val="auto"/>
          <w:sz w:val="30"/>
          <w:szCs w:val="30"/>
          <w:highlight w:val="none"/>
        </w:rPr>
      </w:pPr>
      <w:r>
        <w:rPr>
          <w:rFonts w:hint="eastAsia" w:ascii="方正小标宋简体" w:eastAsia="方正小标宋简体"/>
          <w:color w:val="auto"/>
          <w:sz w:val="72"/>
          <w:szCs w:val="72"/>
          <w:highlight w:val="none"/>
          <w:lang w:val="en-US" w:eastAsia="zh-CN"/>
        </w:rPr>
        <w:t>东塬学校</w:t>
      </w:r>
      <w:r>
        <w:rPr>
          <w:rFonts w:hint="eastAsia" w:ascii="方正小标宋简体" w:eastAsia="方正小标宋简体"/>
          <w:color w:val="auto"/>
          <w:sz w:val="72"/>
          <w:szCs w:val="72"/>
          <w:highlight w:val="none"/>
        </w:rPr>
        <w:t>部门预算</w:t>
      </w: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w:t>
      </w:r>
      <w:r>
        <w:rPr>
          <w:rFonts w:hint="eastAsia" w:ascii="方正小标宋简体" w:eastAsia="方正小标宋简体"/>
          <w:color w:val="auto"/>
          <w:sz w:val="48"/>
          <w:szCs w:val="48"/>
          <w:highlight w:val="none"/>
          <w:lang w:eastAsia="zh-CN"/>
        </w:rPr>
        <w:t>2022</w:t>
      </w:r>
      <w:r>
        <w:rPr>
          <w:rFonts w:hint="eastAsia" w:ascii="方正小标宋简体" w:eastAsia="方正小标宋简体"/>
          <w:color w:val="auto"/>
          <w:sz w:val="48"/>
          <w:szCs w:val="48"/>
          <w:highlight w:val="none"/>
        </w:rPr>
        <w:t>年度）</w:t>
      </w:r>
    </w:p>
    <w:p>
      <w:pPr>
        <w:tabs>
          <w:tab w:val="left" w:pos="12150"/>
        </w:tabs>
        <w:jc w:val="left"/>
        <w:rPr>
          <w:rFonts w:ascii="方正小标宋简体" w:eastAsia="方正小标宋简体"/>
          <w:color w:val="auto"/>
          <w:sz w:val="48"/>
          <w:szCs w:val="48"/>
          <w:highlight w:val="none"/>
        </w:rPr>
      </w:pPr>
      <w:r>
        <w:rPr>
          <w:rFonts w:ascii="方正小标宋简体" w:eastAsia="方正小标宋简体"/>
          <w:color w:val="auto"/>
          <w:sz w:val="48"/>
          <w:szCs w:val="48"/>
          <w:highlight w:val="none"/>
        </w:rPr>
        <w:tab/>
      </w: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lang w:eastAsia="zh-CN"/>
        </w:rPr>
        <w:t>2022</w:t>
      </w:r>
      <w:r>
        <w:rPr>
          <w:rFonts w:hint="eastAsia" w:ascii="方正小标宋简体" w:eastAsia="方正小标宋简体"/>
          <w:color w:val="auto"/>
          <w:sz w:val="48"/>
          <w:szCs w:val="48"/>
          <w:highlight w:val="none"/>
        </w:rPr>
        <w:t>年</w:t>
      </w:r>
      <w:r>
        <w:rPr>
          <w:rFonts w:hint="eastAsia" w:ascii="方正小标宋简体" w:eastAsia="方正小标宋简体"/>
          <w:color w:val="auto"/>
          <w:sz w:val="48"/>
          <w:szCs w:val="48"/>
          <w:highlight w:val="none"/>
          <w:lang w:val="en-US" w:eastAsia="zh-CN"/>
        </w:rPr>
        <w:t>2</w:t>
      </w:r>
      <w:r>
        <w:rPr>
          <w:rFonts w:hint="eastAsia" w:ascii="方正小标宋简体" w:eastAsia="方正小标宋简体"/>
          <w:color w:val="auto"/>
          <w:sz w:val="48"/>
          <w:szCs w:val="48"/>
          <w:highlight w:val="none"/>
        </w:rPr>
        <w:t>月</w:t>
      </w: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    录</w:t>
      </w:r>
    </w:p>
    <w:p>
      <w:pPr>
        <w:rPr>
          <w:rFonts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七）完成教育主管部门和上级政府委托的各项工作任务。</w:t>
      </w:r>
    </w:p>
    <w:p>
      <w:pPr>
        <w:numPr>
          <w:ilvl w:val="0"/>
          <w:numId w:val="1"/>
        </w:numPr>
        <w:spacing w:line="640" w:lineRule="exact"/>
        <w:ind w:firstLine="1590" w:firstLineChars="497"/>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机构设置</w:t>
      </w:r>
    </w:p>
    <w:p>
      <w:pPr>
        <w:spacing w:line="840" w:lineRule="exact"/>
        <w:ind w:firstLine="640" w:firstLineChars="200"/>
        <w:rPr>
          <w:rFonts w:hint="eastAsia" w:ascii="仿宋_GB2312" w:hAnsi="黑体" w:eastAsia="仿宋_GB2312"/>
          <w:b w:val="0"/>
          <w:bCs/>
          <w:sz w:val="32"/>
          <w:szCs w:val="32"/>
        </w:rPr>
      </w:pPr>
      <w:r>
        <w:rPr>
          <w:rFonts w:hint="eastAsia" w:ascii="仿宋_GB2312" w:hAnsi="宋体" w:eastAsia="仿宋_GB2312" w:cs="宋体"/>
          <w:kern w:val="0"/>
          <w:sz w:val="32"/>
          <w:szCs w:val="32"/>
          <w:highlight w:val="none"/>
        </w:rPr>
        <w:t>根据上述职责，东乡族自治县</w:t>
      </w:r>
      <w:r>
        <w:rPr>
          <w:rFonts w:hint="eastAsia" w:ascii="仿宋_GB2312" w:hAnsi="宋体" w:eastAsia="仿宋_GB2312" w:cs="宋体"/>
          <w:kern w:val="0"/>
          <w:sz w:val="32"/>
          <w:szCs w:val="32"/>
          <w:highlight w:val="none"/>
          <w:lang w:val="en-US" w:eastAsia="zh-CN"/>
        </w:rPr>
        <w:t>东塬学校</w:t>
      </w:r>
      <w:r>
        <w:rPr>
          <w:rFonts w:hint="eastAsia" w:ascii="仿宋_GB2312" w:hAnsi="宋体" w:eastAsia="仿宋_GB2312" w:cs="宋体"/>
          <w:kern w:val="0"/>
          <w:sz w:val="32"/>
          <w:szCs w:val="32"/>
          <w:highlight w:val="none"/>
        </w:rPr>
        <w:t>内设7个职能处（委、</w:t>
      </w:r>
      <w:r>
        <w:rPr>
          <w:rFonts w:hint="eastAsia" w:ascii="仿宋_GB2312" w:hAnsi="黑体" w:eastAsia="仿宋_GB2312"/>
          <w:b w:val="0"/>
          <w:bCs/>
          <w:sz w:val="32"/>
          <w:szCs w:val="32"/>
          <w:highlight w:val="none"/>
        </w:rPr>
        <w:t>室</w:t>
      </w:r>
      <w:r>
        <w:rPr>
          <w:rFonts w:hint="eastAsia" w:ascii="仿宋_GB2312" w:hAnsi="黑体" w:eastAsia="仿宋_GB2312"/>
          <w:b w:val="0"/>
          <w:bCs/>
          <w:sz w:val="32"/>
          <w:szCs w:val="32"/>
        </w:rPr>
        <w:t>）：</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（一）办公室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（二）教务处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（三）教研室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政教处</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（五）纪检室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主要职责：负责学校党务、校务、财务公开和相关决策制度执行情况的监督；对师生、家长反映的热点问题进行协调和反馈。</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（六）团委</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（七）总务处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numPr>
          <w:ilvl w:val="0"/>
          <w:numId w:val="0"/>
        </w:numPr>
        <w:spacing w:line="640" w:lineRule="exact"/>
        <w:rPr>
          <w:rFonts w:hint="eastAsia"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 xml:space="preserve">第二部分  </w:t>
      </w:r>
      <w:r>
        <w:rPr>
          <w:rFonts w:hint="eastAsia" w:ascii="仿宋_GB2312" w:hAnsi="黑体" w:eastAsia="仿宋_GB2312"/>
          <w:b/>
          <w:color w:val="auto"/>
          <w:sz w:val="32"/>
          <w:szCs w:val="32"/>
          <w:highlight w:val="none"/>
          <w:lang w:eastAsia="zh-CN"/>
        </w:rPr>
        <w:t>2022</w:t>
      </w:r>
      <w:r>
        <w:rPr>
          <w:rFonts w:hint="eastAsia" w:ascii="仿宋_GB2312" w:hAnsi="黑体" w:eastAsia="仿宋_GB2312"/>
          <w:b/>
          <w:color w:val="auto"/>
          <w:sz w:val="32"/>
          <w:szCs w:val="32"/>
          <w:highlight w:val="none"/>
        </w:rPr>
        <w:t>年部门预算表格</w:t>
      </w:r>
    </w:p>
    <w:p>
      <w:pPr>
        <w:spacing w:line="640" w:lineRule="exact"/>
        <w:ind w:firstLine="1600" w:firstLineChars="5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年部门收支总表</w:t>
      </w:r>
    </w:p>
    <w:p>
      <w:pPr>
        <w:spacing w:line="640" w:lineRule="exact"/>
        <w:ind w:firstLine="1600" w:firstLineChars="5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二、</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年部门财政拨款收支总表</w:t>
      </w:r>
    </w:p>
    <w:p>
      <w:pPr>
        <w:spacing w:line="640" w:lineRule="exact"/>
        <w:ind w:firstLine="1600" w:firstLineChars="5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五、</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年部门一般公共预算支出表</w:t>
      </w:r>
    </w:p>
    <w:p>
      <w:pPr>
        <w:spacing w:line="640" w:lineRule="exact"/>
        <w:ind w:firstLine="1600" w:firstLineChars="5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年部门“三公”经费预算财政拨款情况表</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3"/>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640" w:lineRule="exact"/>
        <w:ind w:firstLine="645"/>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东乡族自治县东塬学校</w:t>
      </w:r>
      <w:r>
        <w:rPr>
          <w:rFonts w:hint="eastAsia" w:ascii="仿宋_GB2312" w:hAnsi="宋体" w:eastAsia="仿宋_GB2312" w:cs="宋体"/>
          <w:color w:val="auto"/>
          <w:kern w:val="0"/>
          <w:sz w:val="32"/>
          <w:szCs w:val="32"/>
          <w:highlight w:val="none"/>
        </w:rPr>
        <w:t>（按照部门“三定”方案填写）</w:t>
      </w: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spacing w:line="840" w:lineRule="exact"/>
        <w:ind w:firstLine="640" w:firstLineChars="200"/>
        <w:rPr>
          <w:rFonts w:ascii="仿宋_GB2312" w:hAnsi="黑体" w:eastAsia="仿宋_GB2312"/>
          <w:b/>
          <w:color w:val="auto"/>
          <w:sz w:val="44"/>
          <w:szCs w:val="44"/>
          <w:highlight w:val="none"/>
        </w:rPr>
      </w:pPr>
      <w:r>
        <w:rPr>
          <w:rFonts w:hint="eastAsia" w:ascii="仿宋_GB2312" w:hAnsi="宋体" w:eastAsia="仿宋_GB2312" w:cs="宋体"/>
          <w:color w:val="auto"/>
          <w:kern w:val="0"/>
          <w:sz w:val="32"/>
          <w:szCs w:val="32"/>
          <w:highlight w:val="none"/>
          <w:lang w:val="en-US" w:eastAsia="zh-CN"/>
        </w:rPr>
        <w:t>东乡族自治县东塬学校</w:t>
      </w:r>
      <w:r>
        <w:rPr>
          <w:rFonts w:hint="eastAsia" w:ascii="仿宋_GB2312" w:hAnsi="宋体" w:eastAsia="仿宋_GB2312" w:cs="宋体"/>
          <w:color w:val="auto"/>
          <w:kern w:val="0"/>
          <w:sz w:val="32"/>
          <w:szCs w:val="32"/>
          <w:highlight w:val="none"/>
        </w:rPr>
        <w:t>（按照部门“三定”方案填写）</w:t>
      </w:r>
      <w:bookmarkStart w:id="0" w:name="_GoBack"/>
      <w:bookmarkEnd w:id="0"/>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 xml:space="preserve">第二部分  </w:t>
      </w:r>
      <w:r>
        <w:rPr>
          <w:rFonts w:hint="eastAsia" w:ascii="仿宋_GB2312" w:hAnsi="黑体" w:eastAsia="仿宋_GB2312"/>
          <w:b/>
          <w:color w:val="auto"/>
          <w:sz w:val="52"/>
          <w:szCs w:val="52"/>
          <w:highlight w:val="none"/>
          <w:lang w:eastAsia="zh-CN"/>
        </w:rPr>
        <w:t>2022</w:t>
      </w:r>
      <w:r>
        <w:rPr>
          <w:rFonts w:hint="eastAsia" w:ascii="仿宋_GB2312" w:hAnsi="黑体" w:eastAsia="仿宋_GB2312"/>
          <w:b/>
          <w:color w:val="auto"/>
          <w:sz w:val="52"/>
          <w:szCs w:val="52"/>
          <w:highlight w:val="none"/>
        </w:rPr>
        <w:t xml:space="preserve">年部门预算表格  </w:t>
      </w:r>
      <w:r>
        <w:rPr>
          <w:rFonts w:hint="eastAsia" w:ascii="仿宋_GB2312" w:hAnsi="黑体" w:eastAsia="仿宋_GB2312"/>
          <w:color w:val="auto"/>
          <w:sz w:val="32"/>
          <w:szCs w:val="32"/>
          <w:highlight w:val="none"/>
        </w:rPr>
        <w:t xml:space="preserve">  </w:t>
      </w: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840" w:lineRule="exact"/>
        <w:jc w:val="center"/>
        <w:rPr>
          <w:rFonts w:ascii="仿宋_GB2312" w:hAnsi="黑体" w:eastAsia="仿宋_GB2312"/>
          <w:b/>
          <w:color w:val="auto"/>
          <w:sz w:val="52"/>
          <w:szCs w:val="52"/>
          <w:highlight w:val="none"/>
        </w:rPr>
      </w:pPr>
      <w:r>
        <w:rPr>
          <w:rFonts w:hint="eastAsia" w:ascii="仿宋_GB2312" w:eastAsia="仿宋_GB2312"/>
          <w:color w:val="auto"/>
          <w:sz w:val="32"/>
          <w:szCs w:val="32"/>
          <w:highlight w:val="none"/>
        </w:rPr>
        <w:t>(本部分共公开</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张表，具体按通知要求公开，注意表格顺序和连续性)</w:t>
      </w: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both"/>
        <w:rPr>
          <w:rFonts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第三部分  部门预算情况说明</w:t>
      </w:r>
      <w:r>
        <w:rPr>
          <w:rFonts w:hint="eastAsia" w:ascii="仿宋_GB2312" w:hAnsi="黑体" w:eastAsia="仿宋_GB2312"/>
          <w:color w:val="auto"/>
          <w:sz w:val="32"/>
          <w:szCs w:val="32"/>
          <w:highlight w:val="none"/>
        </w:rPr>
        <w:t xml:space="preserve">  </w:t>
      </w:r>
    </w:p>
    <w:p>
      <w:pPr>
        <w:spacing w:line="640" w:lineRule="exact"/>
        <w:ind w:firstLine="640" w:firstLineChars="20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rPr>
        <w:t>一、部门预算总体说明</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2</w:t>
      </w:r>
      <w:r>
        <w:rPr>
          <w:rFonts w:hint="eastAsia" w:ascii="仿宋_GB2312" w:hAnsi="黑体" w:eastAsia="仿宋_GB2312"/>
          <w:color w:val="auto"/>
          <w:sz w:val="32"/>
          <w:szCs w:val="32"/>
          <w:highlight w:val="none"/>
        </w:rPr>
        <w:t>年预算收入26109706.02元，其中：一般公共预算财政拨款收入26109706.02元，政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26109706.02</w:t>
      </w:r>
      <w:r>
        <w:rPr>
          <w:rFonts w:hint="eastAsia" w:ascii="仿宋_GB2312" w:hAnsi="宋体" w:eastAsia="仿宋_GB2312"/>
          <w:color w:val="auto"/>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3" w:firstLineChars="200"/>
        <w:rPr>
          <w:rFonts w:ascii="仿宋_GB2312" w:hAnsi="宋体" w:eastAsia="仿宋_GB2312"/>
          <w:color w:val="auto"/>
          <w:sz w:val="32"/>
          <w:szCs w:val="32"/>
          <w:highlight w:val="none"/>
        </w:rPr>
      </w:pPr>
      <w:r>
        <w:rPr>
          <w:rFonts w:hint="eastAsia" w:ascii="仿宋_GB2312" w:hAnsi="黑体" w:eastAsia="仿宋_GB2312"/>
          <w:b/>
          <w:color w:val="auto"/>
          <w:sz w:val="32"/>
          <w:szCs w:val="32"/>
          <w:highlight w:val="none"/>
        </w:rPr>
        <w:t>支出按功能分类科目安排为：</w:t>
      </w:r>
    </w:p>
    <w:p>
      <w:pPr>
        <w:spacing w:line="64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教育支出：20415884元。</w:t>
      </w:r>
    </w:p>
    <w:p>
      <w:p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2502813.49元</w:t>
      </w:r>
      <w:r>
        <w:rPr>
          <w:rFonts w:hint="eastAsia" w:ascii="仿宋_GB2312" w:hAnsi="黑体" w:eastAsia="仿宋_GB2312"/>
          <w:color w:val="auto"/>
          <w:sz w:val="32"/>
          <w:szCs w:val="32"/>
          <w:highlight w:val="none"/>
          <w:lang w:eastAsia="zh-CN"/>
        </w:rPr>
        <w:t>。</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卫生健康支出</w:t>
      </w:r>
      <w:r>
        <w:rPr>
          <w:rFonts w:hint="eastAsia" w:ascii="仿宋_GB2312" w:hAnsi="黑体" w:eastAsia="仿宋_GB2312"/>
          <w:color w:val="auto"/>
          <w:sz w:val="32"/>
          <w:szCs w:val="32"/>
          <w:highlight w:val="none"/>
        </w:rPr>
        <w:t>1028083.29元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住房保障支出</w:t>
      </w:r>
      <w:r>
        <w:rPr>
          <w:rFonts w:hint="eastAsia" w:ascii="仿宋_GB2312" w:hAnsi="黑体" w:eastAsia="仿宋_GB2312"/>
          <w:color w:val="auto"/>
          <w:sz w:val="32"/>
          <w:szCs w:val="32"/>
          <w:highlight w:val="none"/>
        </w:rPr>
        <w:t>1853935.92元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308989.32</w:t>
      </w:r>
      <w:r>
        <w:rPr>
          <w:rFonts w:hint="eastAsia" w:ascii="仿宋_GB2312" w:hAnsi="宋体" w:eastAsia="仿宋_GB2312"/>
          <w:color w:val="auto"/>
          <w:sz w:val="32"/>
          <w:szCs w:val="32"/>
          <w:highlight w:val="none"/>
        </w:rPr>
        <w:t>元，其中：</w:t>
      </w:r>
      <w:r>
        <w:rPr>
          <w:rFonts w:hint="eastAsia" w:ascii="仿宋_GB2312" w:hAnsi="宋体" w:eastAsia="仿宋_GB2312"/>
          <w:color w:val="auto"/>
          <w:sz w:val="32"/>
          <w:szCs w:val="32"/>
          <w:highlight w:val="none"/>
          <w:lang w:val="en-US" w:eastAsia="zh-CN"/>
        </w:rPr>
        <w:t>工会支出</w:t>
      </w:r>
      <w:r>
        <w:rPr>
          <w:rFonts w:hint="eastAsia" w:ascii="仿宋_GB2312" w:hAnsi="黑体" w:eastAsia="仿宋_GB2312"/>
          <w:color w:val="auto"/>
          <w:sz w:val="32"/>
          <w:szCs w:val="32"/>
          <w:highlight w:val="none"/>
        </w:rPr>
        <w:t>308989.32</w:t>
      </w:r>
      <w:r>
        <w:rPr>
          <w:rFonts w:hint="eastAsia" w:ascii="仿宋_GB2312" w:hAnsi="宋体" w:eastAsia="仿宋_GB2312"/>
          <w:color w:val="auto"/>
          <w:sz w:val="32"/>
          <w:szCs w:val="32"/>
          <w:highlight w:val="none"/>
        </w:rPr>
        <w:t>元。</w:t>
      </w:r>
    </w:p>
    <w:p>
      <w:pPr>
        <w:spacing w:line="640" w:lineRule="exact"/>
        <w:ind w:firstLine="643" w:firstLineChars="200"/>
        <w:rPr>
          <w:rFonts w:hint="default"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rPr>
        <w:t>支出按经济分类科目安排为：</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工资福利支出</w:t>
      </w:r>
      <w:r>
        <w:rPr>
          <w:rFonts w:hint="eastAsia" w:ascii="仿宋_GB2312" w:hAnsi="黑体" w:eastAsia="仿宋_GB2312"/>
          <w:color w:val="auto"/>
          <w:sz w:val="32"/>
          <w:szCs w:val="32"/>
          <w:highlight w:val="none"/>
        </w:rPr>
        <w:t>26109706.02</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ascii="仿宋_GB2312" w:hAnsi="黑体" w:eastAsia="仿宋_GB2312"/>
          <w:b w:val="0"/>
          <w:bCs/>
          <w:color w:val="auto"/>
          <w:sz w:val="32"/>
          <w:szCs w:val="32"/>
          <w:highlight w:val="none"/>
        </w:rPr>
      </w:pPr>
      <w:r>
        <w:rPr>
          <w:rFonts w:hint="eastAsia" w:ascii="楷体_GB2312" w:hAnsi="黑体" w:eastAsia="楷体_GB2312"/>
          <w:b/>
          <w:color w:val="auto"/>
          <w:sz w:val="32"/>
          <w:szCs w:val="32"/>
          <w:highlight w:val="none"/>
        </w:rPr>
        <w:t>（一）一般公共服务支出</w:t>
      </w:r>
      <w:r>
        <w:rPr>
          <w:rFonts w:hint="eastAsia" w:ascii="楷体_GB2312" w:hAnsi="黑体" w:eastAsia="楷体_GB2312"/>
          <w:b/>
          <w:color w:val="auto"/>
          <w:sz w:val="32"/>
          <w:szCs w:val="32"/>
          <w:highlight w:val="none"/>
          <w:lang w:val="en-US" w:eastAsia="zh-CN"/>
        </w:rPr>
        <w:t>第</w:t>
      </w:r>
      <w:r>
        <w:rPr>
          <w:rFonts w:hint="eastAsia" w:ascii="楷体_GB2312" w:hAnsi="黑体" w:eastAsia="楷体_GB2312"/>
          <w:b/>
          <w:color w:val="auto"/>
          <w:sz w:val="32"/>
          <w:szCs w:val="32"/>
          <w:highlight w:val="none"/>
        </w:rPr>
        <w:t>（类</w:t>
      </w:r>
      <w:r>
        <w:rPr>
          <w:rFonts w:hint="eastAsia" w:ascii="楷体_GB2312" w:hAnsi="黑体" w:eastAsia="楷体_GB2312"/>
          <w:b/>
          <w:color w:val="auto"/>
          <w:sz w:val="32"/>
          <w:szCs w:val="32"/>
          <w:highlight w:val="none"/>
          <w:lang w:eastAsia="zh-CN"/>
        </w:rPr>
        <w:t>）</w:t>
      </w:r>
      <w:r>
        <w:rPr>
          <w:rFonts w:hint="eastAsia" w:ascii="楷体_GB2312" w:hAnsi="黑体" w:eastAsia="楷体_GB2312"/>
          <w:b w:val="0"/>
          <w:bCs/>
          <w:color w:val="auto"/>
          <w:sz w:val="32"/>
          <w:szCs w:val="32"/>
          <w:highlight w:val="none"/>
          <w:lang w:eastAsia="zh-CN"/>
        </w:rPr>
        <w:t>群众团体事务支出308989.32元，其中工会事务</w:t>
      </w:r>
      <w:r>
        <w:rPr>
          <w:rFonts w:hint="eastAsia" w:ascii="楷体_GB2312" w:hAnsi="黑体" w:eastAsia="楷体_GB2312"/>
          <w:b w:val="0"/>
          <w:bCs/>
          <w:color w:val="auto"/>
          <w:sz w:val="32"/>
          <w:szCs w:val="32"/>
          <w:highlight w:val="none"/>
          <w:lang w:eastAsia="zh-CN"/>
        </w:rPr>
        <w:tab/>
      </w:r>
      <w:r>
        <w:rPr>
          <w:rFonts w:hint="eastAsia" w:ascii="楷体_GB2312" w:hAnsi="黑体" w:eastAsia="楷体_GB2312"/>
          <w:b w:val="0"/>
          <w:bCs/>
          <w:color w:val="auto"/>
          <w:sz w:val="32"/>
          <w:szCs w:val="32"/>
          <w:highlight w:val="none"/>
          <w:lang w:eastAsia="zh-CN"/>
        </w:rPr>
        <w:t>308989.32</w:t>
      </w:r>
      <w:r>
        <w:rPr>
          <w:rFonts w:hint="eastAsia" w:ascii="仿宋_GB2312" w:hAnsi="黑体" w:eastAsia="仿宋_GB2312"/>
          <w:b w:val="0"/>
          <w:bCs/>
          <w:color w:val="auto"/>
          <w:sz w:val="32"/>
          <w:szCs w:val="32"/>
          <w:highlight w:val="none"/>
        </w:rPr>
        <w:t>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（二）社会保障和就业支出（类）</w:t>
      </w:r>
      <w:r>
        <w:rPr>
          <w:rFonts w:hint="eastAsia" w:ascii="楷体_GB2312" w:hAnsi="黑体" w:eastAsia="楷体_GB2312"/>
          <w:b w:val="0"/>
          <w:bCs/>
          <w:color w:val="auto"/>
          <w:sz w:val="32"/>
          <w:szCs w:val="32"/>
          <w:highlight w:val="none"/>
        </w:rPr>
        <w:t>行政事业单位养老支出</w:t>
      </w:r>
      <w:r>
        <w:rPr>
          <w:rFonts w:hint="eastAsia" w:ascii="楷体_GB2312" w:hAnsi="黑体" w:eastAsia="楷体_GB2312"/>
          <w:b w:val="0"/>
          <w:bCs/>
          <w:color w:val="auto"/>
          <w:sz w:val="32"/>
          <w:szCs w:val="32"/>
          <w:highlight w:val="none"/>
          <w:lang w:eastAsia="zh-CN"/>
        </w:rPr>
        <w:t>支出</w:t>
      </w:r>
      <w:r>
        <w:rPr>
          <w:rFonts w:hint="eastAsia" w:ascii="楷体_GB2312" w:hAnsi="黑体" w:eastAsia="楷体_GB2312"/>
          <w:b w:val="0"/>
          <w:bCs/>
          <w:color w:val="auto"/>
          <w:sz w:val="32"/>
          <w:szCs w:val="32"/>
          <w:highlight w:val="none"/>
        </w:rPr>
        <w:t>2471914.56</w:t>
      </w:r>
      <w:r>
        <w:rPr>
          <w:rFonts w:hint="eastAsia" w:ascii="楷体_GB2312" w:hAnsi="黑体" w:eastAsia="楷体_GB2312"/>
          <w:b w:val="0"/>
          <w:bCs/>
          <w:color w:val="auto"/>
          <w:sz w:val="32"/>
          <w:szCs w:val="32"/>
          <w:highlight w:val="none"/>
          <w:lang w:eastAsia="zh-CN"/>
        </w:rPr>
        <w:t>元，其中</w:t>
      </w:r>
      <w:r>
        <w:rPr>
          <w:rFonts w:hint="eastAsia" w:ascii="楷体_GB2312" w:hAnsi="黑体" w:eastAsia="楷体_GB2312"/>
          <w:b w:val="0"/>
          <w:bCs/>
          <w:color w:val="auto"/>
          <w:sz w:val="32"/>
          <w:szCs w:val="32"/>
          <w:highlight w:val="none"/>
        </w:rPr>
        <w:t>机关事业单位基本养老保险缴费支出2471914.56</w:t>
      </w:r>
      <w:r>
        <w:rPr>
          <w:rFonts w:hint="eastAsia" w:ascii="楷体_GB2312" w:hAnsi="黑体" w:eastAsia="楷体_GB2312"/>
          <w:b w:val="0"/>
          <w:bCs/>
          <w:color w:val="auto"/>
          <w:sz w:val="32"/>
          <w:szCs w:val="32"/>
          <w:highlight w:val="none"/>
          <w:lang w:eastAsia="zh-CN"/>
        </w:rPr>
        <w:t>元；</w:t>
      </w:r>
      <w:r>
        <w:rPr>
          <w:rFonts w:hint="eastAsia" w:ascii="楷体_GB2312" w:hAnsi="黑体" w:eastAsia="楷体_GB2312"/>
          <w:b w:val="0"/>
          <w:bCs/>
          <w:color w:val="auto"/>
          <w:sz w:val="32"/>
          <w:szCs w:val="32"/>
          <w:highlight w:val="none"/>
        </w:rPr>
        <w:t>财政对其他社会保险基金的补助</w:t>
      </w:r>
      <w:r>
        <w:rPr>
          <w:rFonts w:hint="eastAsia" w:ascii="楷体_GB2312" w:hAnsi="黑体" w:eastAsia="楷体_GB2312"/>
          <w:b w:val="0"/>
          <w:bCs/>
          <w:color w:val="auto"/>
          <w:sz w:val="32"/>
          <w:szCs w:val="32"/>
          <w:highlight w:val="none"/>
        </w:rPr>
        <w:tab/>
      </w:r>
      <w:r>
        <w:rPr>
          <w:rFonts w:hint="eastAsia" w:ascii="楷体_GB2312" w:hAnsi="黑体" w:eastAsia="楷体_GB2312"/>
          <w:b w:val="0"/>
          <w:bCs/>
          <w:color w:val="auto"/>
          <w:sz w:val="32"/>
          <w:szCs w:val="32"/>
          <w:highlight w:val="none"/>
        </w:rPr>
        <w:t>30898.93</w:t>
      </w:r>
      <w:r>
        <w:rPr>
          <w:rFonts w:hint="eastAsia" w:ascii="楷体_GB2312" w:hAnsi="黑体" w:eastAsia="楷体_GB2312"/>
          <w:b w:val="0"/>
          <w:bCs/>
          <w:color w:val="auto"/>
          <w:sz w:val="32"/>
          <w:szCs w:val="32"/>
          <w:highlight w:val="none"/>
          <w:lang w:eastAsia="zh-CN"/>
        </w:rPr>
        <w:t>元，其中</w:t>
      </w:r>
      <w:r>
        <w:rPr>
          <w:rFonts w:hint="eastAsia" w:ascii="楷体_GB2312" w:hAnsi="黑体" w:eastAsia="楷体_GB2312"/>
          <w:b w:val="0"/>
          <w:bCs/>
          <w:color w:val="auto"/>
          <w:sz w:val="32"/>
          <w:szCs w:val="32"/>
          <w:highlight w:val="none"/>
        </w:rPr>
        <w:t>财政对工伤保险基金的补助</w:t>
      </w:r>
      <w:r>
        <w:rPr>
          <w:rFonts w:hint="eastAsia" w:ascii="楷体_GB2312" w:hAnsi="黑体" w:eastAsia="楷体_GB2312"/>
          <w:b w:val="0"/>
          <w:bCs/>
          <w:color w:val="auto"/>
          <w:sz w:val="32"/>
          <w:szCs w:val="32"/>
          <w:highlight w:val="none"/>
        </w:rPr>
        <w:tab/>
      </w:r>
      <w:r>
        <w:rPr>
          <w:rFonts w:hint="eastAsia" w:ascii="楷体_GB2312" w:hAnsi="黑体" w:eastAsia="楷体_GB2312"/>
          <w:b w:val="0"/>
          <w:bCs/>
          <w:color w:val="auto"/>
          <w:sz w:val="32"/>
          <w:szCs w:val="32"/>
          <w:highlight w:val="none"/>
        </w:rPr>
        <w:t>30898.93</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numPr>
          <w:ilvl w:val="0"/>
          <w:numId w:val="4"/>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卫生健康支出（类）</w:t>
      </w:r>
      <w:r>
        <w:rPr>
          <w:rFonts w:hint="eastAsia" w:ascii="楷体_GB2312" w:hAnsi="黑体" w:eastAsia="楷体_GB2312"/>
          <w:b w:val="0"/>
          <w:bCs/>
          <w:color w:val="auto"/>
          <w:sz w:val="32"/>
          <w:szCs w:val="32"/>
          <w:highlight w:val="none"/>
        </w:rPr>
        <w:t>财政对基本医疗保险基金的补助</w:t>
      </w:r>
      <w:r>
        <w:rPr>
          <w:rFonts w:hint="eastAsia" w:ascii="楷体_GB2312" w:hAnsi="黑体" w:eastAsia="楷体_GB2312"/>
          <w:b w:val="0"/>
          <w:bCs/>
          <w:color w:val="auto"/>
          <w:sz w:val="32"/>
          <w:szCs w:val="32"/>
          <w:highlight w:val="none"/>
          <w:lang w:eastAsia="zh-CN"/>
        </w:rPr>
        <w:t>支出</w:t>
      </w:r>
      <w:r>
        <w:rPr>
          <w:rFonts w:hint="eastAsia" w:ascii="楷体_GB2312" w:hAnsi="黑体" w:eastAsia="楷体_GB2312"/>
          <w:b w:val="0"/>
          <w:bCs/>
          <w:color w:val="auto"/>
          <w:sz w:val="32"/>
          <w:szCs w:val="32"/>
          <w:highlight w:val="none"/>
        </w:rPr>
        <w:t>1028083.29</w:t>
      </w:r>
      <w:r>
        <w:rPr>
          <w:rFonts w:hint="eastAsia" w:ascii="楷体_GB2312" w:hAnsi="黑体" w:eastAsia="楷体_GB2312"/>
          <w:b w:val="0"/>
          <w:bCs/>
          <w:color w:val="auto"/>
          <w:sz w:val="32"/>
          <w:szCs w:val="32"/>
          <w:highlight w:val="none"/>
          <w:lang w:eastAsia="zh-CN"/>
        </w:rPr>
        <w:t>元，其中</w:t>
      </w:r>
      <w:r>
        <w:rPr>
          <w:rFonts w:hint="eastAsia" w:ascii="楷体_GB2312" w:hAnsi="黑体" w:eastAsia="楷体_GB2312"/>
          <w:b w:val="0"/>
          <w:bCs/>
          <w:color w:val="auto"/>
          <w:sz w:val="32"/>
          <w:szCs w:val="32"/>
          <w:highlight w:val="none"/>
        </w:rPr>
        <w:t>财政对职工基本医疗保险基金的补助</w:t>
      </w:r>
      <w:r>
        <w:rPr>
          <w:rFonts w:hint="eastAsia" w:ascii="楷体_GB2312" w:hAnsi="黑体" w:eastAsia="楷体_GB2312"/>
          <w:b w:val="0"/>
          <w:bCs/>
          <w:color w:val="auto"/>
          <w:sz w:val="32"/>
          <w:szCs w:val="32"/>
          <w:highlight w:val="none"/>
          <w:lang w:eastAsia="zh-CN"/>
        </w:rPr>
        <w:t>支出</w:t>
      </w:r>
      <w:r>
        <w:rPr>
          <w:rFonts w:hint="eastAsia" w:ascii="楷体_GB2312" w:hAnsi="黑体" w:eastAsia="楷体_GB2312"/>
          <w:b w:val="0"/>
          <w:bCs/>
          <w:color w:val="auto"/>
          <w:sz w:val="32"/>
          <w:szCs w:val="32"/>
          <w:highlight w:val="none"/>
        </w:rPr>
        <w:t>1028083.29</w:t>
      </w:r>
      <w:r>
        <w:rPr>
          <w:rFonts w:hint="eastAsia" w:ascii="仿宋_GB2312" w:hAnsi="黑体" w:eastAsia="仿宋_GB2312"/>
          <w:b w:val="0"/>
          <w:bCs/>
          <w:color w:val="auto"/>
          <w:sz w:val="32"/>
          <w:szCs w:val="32"/>
          <w:highlight w:val="none"/>
        </w:rPr>
        <w:t>元</w:t>
      </w:r>
      <w:r>
        <w:rPr>
          <w:rFonts w:hint="eastAsia" w:ascii="仿宋_GB2312" w:hAnsi="黑体" w:eastAsia="仿宋_GB2312"/>
          <w:color w:val="auto"/>
          <w:sz w:val="32"/>
          <w:szCs w:val="32"/>
          <w:highlight w:val="none"/>
        </w:rPr>
        <w:t>。</w:t>
      </w:r>
    </w:p>
    <w:p>
      <w:pPr>
        <w:numPr>
          <w:numId w:val="0"/>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四）</w:t>
      </w:r>
      <w:r>
        <w:rPr>
          <w:rFonts w:hint="eastAsia" w:ascii="楷体_GB2312" w:hAnsi="黑体" w:eastAsia="楷体_GB2312"/>
          <w:b/>
          <w:color w:val="auto"/>
          <w:sz w:val="32"/>
          <w:szCs w:val="32"/>
          <w:highlight w:val="none"/>
          <w:lang w:eastAsia="zh-CN"/>
        </w:rPr>
        <w:t>住房保障支出（</w:t>
      </w:r>
      <w:r>
        <w:rPr>
          <w:rFonts w:hint="eastAsia" w:ascii="楷体_GB2312" w:hAnsi="黑体" w:eastAsia="楷体_GB2312"/>
          <w:b/>
          <w:color w:val="auto"/>
          <w:sz w:val="32"/>
          <w:szCs w:val="32"/>
          <w:highlight w:val="none"/>
        </w:rPr>
        <w:t>类）</w:t>
      </w:r>
      <w:r>
        <w:rPr>
          <w:rFonts w:hint="eastAsia" w:ascii="楷体_GB2312" w:hAnsi="黑体" w:eastAsia="楷体_GB2312"/>
          <w:b w:val="0"/>
          <w:bCs/>
          <w:color w:val="auto"/>
          <w:sz w:val="32"/>
          <w:szCs w:val="32"/>
          <w:highlight w:val="none"/>
        </w:rPr>
        <w:t>住房改革支出1853935.92</w:t>
      </w:r>
      <w:r>
        <w:rPr>
          <w:rFonts w:hint="eastAsia" w:ascii="楷体_GB2312" w:hAnsi="黑体" w:eastAsia="楷体_GB2312"/>
          <w:b w:val="0"/>
          <w:bCs/>
          <w:color w:val="auto"/>
          <w:sz w:val="32"/>
          <w:szCs w:val="32"/>
          <w:highlight w:val="none"/>
          <w:lang w:eastAsia="zh-CN"/>
        </w:rPr>
        <w:t>元，其中：</w:t>
      </w:r>
      <w:r>
        <w:rPr>
          <w:rFonts w:hint="eastAsia" w:ascii="楷体_GB2312" w:hAnsi="黑体" w:eastAsia="楷体_GB2312"/>
          <w:b w:val="0"/>
          <w:bCs/>
          <w:color w:val="auto"/>
          <w:sz w:val="32"/>
          <w:szCs w:val="32"/>
          <w:highlight w:val="none"/>
        </w:rPr>
        <w:t>住房公积金1853935.92</w:t>
      </w:r>
      <w:r>
        <w:rPr>
          <w:rFonts w:hint="eastAsia" w:ascii="仿宋_GB2312" w:hAnsi="黑体" w:eastAsia="仿宋_GB2312"/>
          <w:b w:val="0"/>
          <w:bCs/>
          <w:color w:val="auto"/>
          <w:sz w:val="32"/>
          <w:szCs w:val="32"/>
          <w:highlight w:val="none"/>
        </w:rPr>
        <w:t>元。</w:t>
      </w:r>
    </w:p>
    <w:p>
      <w:pPr>
        <w:spacing w:line="640" w:lineRule="exact"/>
        <w:ind w:firstLine="640" w:firstLineChars="20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三、部门一般公共预算基本支出情况说明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数据按照表7）</w:t>
      </w:r>
    </w:p>
    <w:p>
      <w:pPr>
        <w:ind w:firstLine="640" w:firstLineChars="200"/>
        <w:rPr>
          <w:color w:val="auto"/>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2</w:t>
      </w:r>
      <w:r>
        <w:rPr>
          <w:rFonts w:hint="eastAsia" w:ascii="仿宋_GB2312" w:hAnsi="黑体" w:eastAsia="仿宋_GB2312"/>
          <w:color w:val="auto"/>
          <w:sz w:val="32"/>
          <w:szCs w:val="32"/>
          <w:highlight w:val="none"/>
        </w:rPr>
        <w:t>年一般公共预算基本支出26109706.02元，其中：人员经费26109706.02元，单位运转经费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四、部门“三公”经费情况说明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数据按照表8）</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2</w:t>
      </w:r>
      <w:r>
        <w:rPr>
          <w:rFonts w:hint="eastAsia" w:ascii="仿宋_GB2312" w:hAnsi="黑体" w:eastAsia="仿宋_GB2312"/>
          <w:color w:val="auto"/>
          <w:sz w:val="32"/>
          <w:szCs w:val="32"/>
          <w:highlight w:val="none"/>
        </w:rPr>
        <w:t>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（一）因公出国（境）费</w:t>
      </w:r>
      <w:r>
        <w:rPr>
          <w:rFonts w:hint="eastAsia" w:ascii="楷体_GB2312" w:hAnsi="黑体" w:eastAsia="楷体_GB2312"/>
          <w:b/>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无</w:t>
      </w:r>
      <w:r>
        <w:rPr>
          <w:rFonts w:hint="eastAsia" w:ascii="仿宋_GB2312" w:hAnsi="黑体" w:eastAsia="仿宋_GB2312"/>
          <w:color w:val="auto"/>
          <w:sz w:val="32"/>
          <w:szCs w:val="32"/>
          <w:highlight w:val="none"/>
        </w:rPr>
        <w:t>变化情况。</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1044" w:firstLineChars="200"/>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FB6C6E07"/>
    <w:multiLevelType w:val="singleLevel"/>
    <w:tmpl w:val="FB6C6E07"/>
    <w:lvl w:ilvl="0" w:tentative="0">
      <w:start w:val="3"/>
      <w:numFmt w:val="chineseCounting"/>
      <w:suff w:val="nothing"/>
      <w:lvlText w:val="（%1）"/>
      <w:lvlJc w:val="left"/>
      <w:rPr>
        <w:rFonts w:hint="eastAsia"/>
      </w:rPr>
    </w:lvl>
  </w:abstractNum>
  <w:abstractNum w:abstractNumId="2">
    <w:nsid w:val="337F5EE2"/>
    <w:multiLevelType w:val="singleLevel"/>
    <w:tmpl w:val="337F5EE2"/>
    <w:lvl w:ilvl="0" w:tentative="0">
      <w:start w:val="2"/>
      <w:numFmt w:val="chineseCounting"/>
      <w:suff w:val="nothing"/>
      <w:lvlText w:val="%1、"/>
      <w:lvlJc w:val="left"/>
      <w:rPr>
        <w:rFonts w:hint="eastAsia"/>
      </w:r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97F724C"/>
    <w:rsid w:val="0A116753"/>
    <w:rsid w:val="0B896034"/>
    <w:rsid w:val="0D824E94"/>
    <w:rsid w:val="0E6F37D9"/>
    <w:rsid w:val="112936A0"/>
    <w:rsid w:val="1250416D"/>
    <w:rsid w:val="127B3B2F"/>
    <w:rsid w:val="13B82E0D"/>
    <w:rsid w:val="141D039C"/>
    <w:rsid w:val="17432B85"/>
    <w:rsid w:val="17AC7EF2"/>
    <w:rsid w:val="1909264A"/>
    <w:rsid w:val="198119BE"/>
    <w:rsid w:val="19A075E2"/>
    <w:rsid w:val="1B143B5A"/>
    <w:rsid w:val="1B78482C"/>
    <w:rsid w:val="1C6D1D31"/>
    <w:rsid w:val="1D654F62"/>
    <w:rsid w:val="1FBC6E33"/>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B82D6F"/>
    <w:rsid w:val="373703E1"/>
    <w:rsid w:val="37580FE7"/>
    <w:rsid w:val="39276F80"/>
    <w:rsid w:val="396616D2"/>
    <w:rsid w:val="39A71DAE"/>
    <w:rsid w:val="3D8C4411"/>
    <w:rsid w:val="3FB86B84"/>
    <w:rsid w:val="40465DD0"/>
    <w:rsid w:val="40CC1D5D"/>
    <w:rsid w:val="416268DB"/>
    <w:rsid w:val="42B07FE6"/>
    <w:rsid w:val="43365961"/>
    <w:rsid w:val="4407632C"/>
    <w:rsid w:val="452F6292"/>
    <w:rsid w:val="46AC58DB"/>
    <w:rsid w:val="47AF499B"/>
    <w:rsid w:val="484D612A"/>
    <w:rsid w:val="48A9072C"/>
    <w:rsid w:val="4C7C718B"/>
    <w:rsid w:val="4D903B41"/>
    <w:rsid w:val="4DA8126D"/>
    <w:rsid w:val="4DD72226"/>
    <w:rsid w:val="4E4A12EF"/>
    <w:rsid w:val="4EA300AE"/>
    <w:rsid w:val="4F97680F"/>
    <w:rsid w:val="50185588"/>
    <w:rsid w:val="50622DD8"/>
    <w:rsid w:val="51C77E42"/>
    <w:rsid w:val="535B5E3F"/>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A136FDE"/>
    <w:rsid w:val="6A752B54"/>
    <w:rsid w:val="6EA6456E"/>
    <w:rsid w:val="74517818"/>
    <w:rsid w:val="75840CDB"/>
    <w:rsid w:val="759F5F29"/>
    <w:rsid w:val="75FA50B5"/>
    <w:rsid w:val="77781E83"/>
    <w:rsid w:val="78062181"/>
    <w:rsid w:val="794965D5"/>
    <w:rsid w:val="79D61FC6"/>
    <w:rsid w:val="7CF82ADB"/>
    <w:rsid w:val="7E1A1681"/>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3089</Words>
  <Characters>3358</Characters>
  <Lines>16</Lines>
  <Paragraphs>4</Paragraphs>
  <TotalTime>2</TotalTime>
  <ScaleCrop>false</ScaleCrop>
  <LinksUpToDate>false</LinksUpToDate>
  <CharactersWithSpaces>3409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2023-06-05T08:46:55Z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0E30A2E318FA487788BCBBCDBF133E22</vt:lpwstr>
  </property>
</Properties>
</file>