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楷体" w:hAnsi="楷体" w:eastAsia="楷体"/>
          <w:sz w:val="30"/>
          <w:szCs w:val="30"/>
          <w:highlight w:val="none"/>
        </w:rPr>
      </w:pPr>
      <w:r>
        <w:rPr>
          <w:rFonts w:hint="eastAsia" w:ascii="方正小标宋简体" w:eastAsia="方正小标宋简体"/>
          <w:sz w:val="72"/>
          <w:szCs w:val="72"/>
          <w:highlight w:val="none"/>
          <w:lang w:eastAsia="zh-CN"/>
        </w:rPr>
        <w:t>东乡县关心办</w:t>
      </w:r>
      <w:r>
        <w:rPr>
          <w:rFonts w:hint="eastAsia" w:ascii="方正小标宋简体" w:eastAsia="方正小标宋简体"/>
          <w:sz w:val="72"/>
          <w:szCs w:val="72"/>
          <w:highlight w:val="none"/>
        </w:rPr>
        <w:t>部门预算</w:t>
      </w: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（2022年度）</w:t>
      </w:r>
    </w:p>
    <w:p>
      <w:pPr>
        <w:tabs>
          <w:tab w:val="left" w:pos="12150"/>
        </w:tabs>
        <w:jc w:val="left"/>
        <w:rPr>
          <w:rFonts w:ascii="方正小标宋简体" w:eastAsia="方正小标宋简体"/>
          <w:sz w:val="48"/>
          <w:szCs w:val="48"/>
          <w:highlight w:val="none"/>
        </w:rPr>
      </w:pPr>
      <w:r>
        <w:rPr>
          <w:rFonts w:ascii="方正小标宋简体" w:eastAsia="方正小标宋简体"/>
          <w:sz w:val="48"/>
          <w:szCs w:val="48"/>
          <w:highlight w:val="none"/>
        </w:rPr>
        <w:tab/>
      </w: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p>
    <w:p>
      <w:pPr>
        <w:jc w:val="center"/>
        <w:rPr>
          <w:rFonts w:ascii="方正小标宋简体" w:eastAsia="方正小标宋简体"/>
          <w:sz w:val="48"/>
          <w:szCs w:val="48"/>
          <w:highlight w:val="none"/>
        </w:rPr>
      </w:pPr>
      <w:r>
        <w:rPr>
          <w:rFonts w:hint="eastAsia" w:ascii="方正小标宋简体" w:eastAsia="方正小标宋简体"/>
          <w:sz w:val="48"/>
          <w:szCs w:val="48"/>
          <w:highlight w:val="none"/>
        </w:rPr>
        <w:t>2022年5月</w:t>
      </w:r>
    </w:p>
    <w:p>
      <w:pPr>
        <w:jc w:val="center"/>
        <w:rPr>
          <w:rFonts w:ascii="黑体" w:hAnsi="黑体" w:eastAsia="黑体"/>
          <w:sz w:val="48"/>
          <w:szCs w:val="48"/>
          <w:highlight w:val="none"/>
        </w:rPr>
      </w:pPr>
      <w:r>
        <w:rPr>
          <w:rFonts w:hint="eastAsia" w:ascii="黑体" w:hAnsi="黑体" w:eastAsia="黑体"/>
          <w:sz w:val="48"/>
          <w:szCs w:val="48"/>
          <w:highlight w:val="none"/>
        </w:rPr>
        <w:t>目    录</w:t>
      </w:r>
    </w:p>
    <w:p>
      <w:pPr>
        <w:rPr>
          <w:rFonts w:ascii="仿宋_GB2312" w:hAnsi="黑体" w:eastAsia="仿宋_GB2312"/>
          <w:sz w:val="32"/>
          <w:szCs w:val="32"/>
          <w:highlight w:val="none"/>
        </w:rPr>
      </w:pP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第一部分  部门概况</w:t>
      </w:r>
    </w:p>
    <w:p>
      <w:pPr>
        <w:spacing w:line="640" w:lineRule="exact"/>
        <w:ind w:firstLine="1564" w:firstLineChars="489"/>
        <w:rPr>
          <w:rFonts w:ascii="仿宋_GB2312" w:hAnsi="黑体" w:eastAsia="仿宋_GB2312"/>
          <w:sz w:val="32"/>
          <w:szCs w:val="32"/>
          <w:highlight w:val="none"/>
        </w:rPr>
      </w:pPr>
      <w:r>
        <w:rPr>
          <w:rFonts w:hint="eastAsia" w:ascii="仿宋_GB2312" w:hAnsi="黑体" w:eastAsia="仿宋_GB2312"/>
          <w:sz w:val="32"/>
          <w:szCs w:val="32"/>
          <w:highlight w:val="none"/>
        </w:rPr>
        <w:t>一、部门职责</w:t>
      </w:r>
    </w:p>
    <w:p>
      <w:pPr>
        <w:spacing w:line="640" w:lineRule="exact"/>
        <w:ind w:firstLine="1590" w:firstLineChars="497"/>
        <w:rPr>
          <w:rFonts w:ascii="仿宋_GB2312" w:hAnsi="黑体" w:eastAsia="仿宋_GB2312"/>
          <w:sz w:val="32"/>
          <w:szCs w:val="32"/>
          <w:highlight w:val="none"/>
        </w:rPr>
      </w:pPr>
      <w:r>
        <w:rPr>
          <w:rFonts w:hint="eastAsia" w:ascii="仿宋_GB2312" w:hAnsi="黑体" w:eastAsia="仿宋_GB2312"/>
          <w:sz w:val="32"/>
          <w:szCs w:val="32"/>
          <w:highlight w:val="none"/>
        </w:rPr>
        <w:t>二、机构设置</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第二部分  2022年部门预算表格</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一、2022年部门收支总表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二、2022年部门收入总表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三、2022年部门支出总表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四、2022年部门财政拨款收支总表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五、2022年部门一般公共预算支出表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六、2022年部门政府性基金预算支出表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七、2022年部门预算经济分类和对应的政府预算经济分类基本支出预算明细表</w:t>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八、2022年部门预算经济分类和对应的政府预算经济分类项目支出预算明细表</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九、2022年部门政府采购预算表</w:t>
      </w:r>
      <w:r>
        <w:rPr>
          <w:rFonts w:hint="eastAsia" w:ascii="仿宋_GB2312" w:hAnsi="黑体" w:eastAsia="仿宋_GB2312"/>
          <w:sz w:val="32"/>
          <w:szCs w:val="32"/>
          <w:highlight w:val="none"/>
        </w:rPr>
        <w:tab/>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十、2022年部门“三公”经费预算财政拨款情况表</w:t>
      </w:r>
      <w:r>
        <w:rPr>
          <w:rFonts w:hint="eastAsia" w:ascii="仿宋_GB2312" w:hAnsi="黑体" w:eastAsia="仿宋_GB2312"/>
          <w:sz w:val="32"/>
          <w:szCs w:val="32"/>
          <w:highlight w:val="none"/>
        </w:rPr>
        <w:tab/>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第三部分  部门预算情况说明</w:t>
      </w:r>
    </w:p>
    <w:p>
      <w:pPr>
        <w:spacing w:line="640" w:lineRule="exact"/>
        <w:ind w:firstLine="1285" w:firstLineChars="400"/>
        <w:rPr>
          <w:rFonts w:ascii="仿宋_GB2312" w:hAnsi="黑体" w:eastAsia="仿宋_GB2312"/>
          <w:sz w:val="32"/>
          <w:szCs w:val="32"/>
          <w:highlight w:val="none"/>
        </w:rPr>
      </w:pPr>
      <w:r>
        <w:rPr>
          <w:rFonts w:hint="eastAsia" w:ascii="仿宋_GB2312" w:hAnsi="黑体" w:eastAsia="仿宋_GB2312"/>
          <w:b/>
          <w:sz w:val="32"/>
          <w:szCs w:val="32"/>
          <w:highlight w:val="none"/>
        </w:rPr>
        <w:t xml:space="preserve">  </w:t>
      </w:r>
      <w:r>
        <w:rPr>
          <w:rFonts w:hint="eastAsia" w:ascii="仿宋_GB2312" w:hAnsi="黑体" w:eastAsia="仿宋_GB2312"/>
          <w:sz w:val="32"/>
          <w:szCs w:val="32"/>
          <w:highlight w:val="none"/>
        </w:rPr>
        <w:t>一、部门预算总体说明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二、部门一般公共预算支出情况说明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三、部门一般公共预算基本支出情况说明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四、部门“三公”经费情况说明</w:t>
      </w:r>
    </w:p>
    <w:p>
      <w:pPr>
        <w:spacing w:line="640" w:lineRule="exact"/>
        <w:ind w:firstLine="1600" w:firstLineChars="500"/>
        <w:rPr>
          <w:rFonts w:ascii="仿宋_GB2312" w:hAnsi="黑体" w:eastAsia="仿宋_GB2312"/>
          <w:sz w:val="32"/>
          <w:szCs w:val="32"/>
          <w:highlight w:val="none"/>
        </w:rPr>
      </w:pPr>
      <w:r>
        <w:rPr>
          <w:rFonts w:hint="eastAsia" w:ascii="仿宋_GB2312" w:hAnsi="黑体" w:eastAsia="仿宋_GB2312"/>
          <w:sz w:val="32"/>
          <w:szCs w:val="32"/>
          <w:highlight w:val="none"/>
        </w:rPr>
        <w:t>五、部门机关运行经费及政府采购预算情况说明</w:t>
      </w:r>
    </w:p>
    <w:p>
      <w:pPr>
        <w:spacing w:line="640" w:lineRule="exact"/>
        <w:ind w:firstLine="1285" w:firstLineChars="400"/>
        <w:rPr>
          <w:rFonts w:ascii="仿宋_GB2312" w:hAnsi="黑体" w:eastAsia="仿宋_GB2312"/>
          <w:b/>
          <w:sz w:val="32"/>
          <w:szCs w:val="32"/>
          <w:highlight w:val="none"/>
        </w:rPr>
      </w:pPr>
      <w:r>
        <w:rPr>
          <w:rFonts w:hint="eastAsia" w:ascii="仿宋_GB2312" w:hAnsi="黑体" w:eastAsia="仿宋_GB2312"/>
          <w:b/>
          <w:sz w:val="32"/>
          <w:szCs w:val="32"/>
          <w:highlight w:val="none"/>
        </w:rPr>
        <w:t>第四部分  名词解释</w:t>
      </w: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b/>
          <w:sz w:val="52"/>
          <w:szCs w:val="52"/>
          <w:highlight w:val="none"/>
        </w:rPr>
      </w:pPr>
      <w:r>
        <w:rPr>
          <w:rFonts w:hint="eastAsia" w:ascii="仿宋_GB2312" w:hAnsi="黑体" w:eastAsia="仿宋_GB2312"/>
          <w:b/>
          <w:sz w:val="52"/>
          <w:szCs w:val="52"/>
          <w:highlight w:val="none"/>
        </w:rPr>
        <w:t>第一部分  部门概况</w:t>
      </w:r>
    </w:p>
    <w:p>
      <w:pPr>
        <w:spacing w:line="640" w:lineRule="exact"/>
        <w:rPr>
          <w:rFonts w:ascii="黑体" w:hAnsi="黑体" w:eastAsia="黑体"/>
          <w:sz w:val="32"/>
          <w:szCs w:val="32"/>
          <w:highlight w:val="none"/>
        </w:rPr>
      </w:pPr>
      <w:r>
        <w:rPr>
          <w:rFonts w:hint="eastAsia" w:ascii="仿宋_GB2312" w:hAnsi="黑体" w:eastAsia="仿宋_GB2312"/>
          <w:sz w:val="32"/>
          <w:szCs w:val="32"/>
          <w:highlight w:val="none"/>
        </w:rPr>
        <w:t xml:space="preserve">  </w:t>
      </w:r>
    </w:p>
    <w:p>
      <w:pPr>
        <w:numPr>
          <w:ilvl w:val="0"/>
          <w:numId w:val="1"/>
        </w:numPr>
        <w:spacing w:line="640" w:lineRule="exact"/>
        <w:rPr>
          <w:rFonts w:ascii="黑体" w:hAnsi="黑体" w:eastAsia="黑体"/>
          <w:sz w:val="32"/>
          <w:szCs w:val="32"/>
          <w:highlight w:val="none"/>
        </w:rPr>
      </w:pPr>
      <w:r>
        <w:rPr>
          <w:rFonts w:hint="eastAsia" w:ascii="黑体" w:hAnsi="黑体" w:eastAsia="黑体"/>
          <w:sz w:val="32"/>
          <w:szCs w:val="32"/>
          <w:highlight w:val="none"/>
        </w:rPr>
        <w:t>部门职责</w:t>
      </w:r>
    </w:p>
    <w:p>
      <w:pPr>
        <w:spacing w:line="640" w:lineRule="exact"/>
        <w:ind w:firstLine="640" w:firstLineChars="200"/>
        <w:rPr>
          <w:rFonts w:hint="eastAsia"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关心下一代工作委员会办公室围绕党和政府不同时期的中心工作，积极协助和配合党、政有关部门为青少年、儿童健康成长办实事、做好事;配合政法机关、工会、共青团、妇联、学校等部门，积极开展对青少年的普法宣传活动，贯彻执行《未成年人保护法》，保护未成年人的合法权益，教育挽救失足青少年; 对贫困学生进行实质性的帮扶活动，调查研究培育青少年问题，向党和政府反映情况，提出建议;完成党和政府交办的任务。</w:t>
      </w:r>
    </w:p>
    <w:p>
      <w:pPr>
        <w:numPr>
          <w:ilvl w:val="0"/>
          <w:numId w:val="1"/>
        </w:numPr>
        <w:spacing w:line="640" w:lineRule="exact"/>
        <w:ind w:left="1360" w:leftChars="0" w:hanging="720" w:firstLineChars="0"/>
        <w:rPr>
          <w:rFonts w:hint="eastAsia" w:ascii="黑体" w:hAnsi="黑体" w:eastAsia="黑体"/>
          <w:sz w:val="32"/>
          <w:szCs w:val="32"/>
          <w:highlight w:val="none"/>
        </w:rPr>
      </w:pPr>
      <w:r>
        <w:rPr>
          <w:rFonts w:hint="eastAsia" w:ascii="黑体" w:hAnsi="黑体" w:eastAsia="黑体"/>
          <w:sz w:val="32"/>
          <w:szCs w:val="32"/>
          <w:highlight w:val="none"/>
        </w:rPr>
        <w:t>机构设置</w:t>
      </w:r>
    </w:p>
    <w:p>
      <w:pPr>
        <w:spacing w:line="640" w:lineRule="exact"/>
        <w:ind w:firstLine="640" w:firstLineChars="200"/>
        <w:rPr>
          <w:rFonts w:hint="eastAsia"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rPr>
        <w:t>东乡县关心下一代工作委员会办公室属事业单位，办公经费及干部职工工资由县财政统一预算并拨付。内设办公室，现有干部职工9人，核定编制共有</w:t>
      </w:r>
      <w:r>
        <w:rPr>
          <w:rFonts w:hint="eastAsia" w:ascii="仿宋_GB2312" w:hAnsi="黑体" w:eastAsia="仿宋_GB2312" w:cs="Times New Roman"/>
          <w:sz w:val="32"/>
          <w:szCs w:val="32"/>
          <w:highlight w:val="none"/>
          <w:lang w:val="en-US" w:eastAsia="zh-CN"/>
        </w:rPr>
        <w:t>9</w:t>
      </w:r>
      <w:r>
        <w:rPr>
          <w:rFonts w:hint="eastAsia" w:ascii="仿宋_GB2312" w:hAnsi="黑体" w:eastAsia="仿宋_GB2312" w:cs="Times New Roman"/>
          <w:sz w:val="32"/>
          <w:szCs w:val="32"/>
          <w:highlight w:val="none"/>
        </w:rPr>
        <w:t>人，事业编制</w:t>
      </w:r>
      <w:r>
        <w:rPr>
          <w:rFonts w:hint="eastAsia" w:ascii="仿宋_GB2312" w:hAnsi="黑体" w:eastAsia="仿宋_GB2312" w:cs="Times New Roman"/>
          <w:sz w:val="32"/>
          <w:szCs w:val="32"/>
          <w:highlight w:val="none"/>
          <w:lang w:val="en-US" w:eastAsia="zh-CN"/>
        </w:rPr>
        <w:t>9</w:t>
      </w:r>
      <w:r>
        <w:rPr>
          <w:rFonts w:hint="eastAsia" w:ascii="仿宋_GB2312" w:hAnsi="黑体" w:eastAsia="仿宋_GB2312" w:cs="Times New Roman"/>
          <w:sz w:val="32"/>
          <w:szCs w:val="32"/>
          <w:highlight w:val="none"/>
        </w:rPr>
        <w:t>人。</w:t>
      </w:r>
      <w:r>
        <w:rPr>
          <w:rFonts w:hint="eastAsia" w:ascii="仿宋_GB2312" w:hAnsi="黑体" w:eastAsia="仿宋_GB2312" w:cs="Times New Roman"/>
          <w:sz w:val="32"/>
          <w:szCs w:val="32"/>
          <w:highlight w:val="none"/>
          <w:lang w:val="en-US" w:eastAsia="zh-CN"/>
        </w:rPr>
        <w:t xml:space="preserve"> </w:t>
      </w:r>
    </w:p>
    <w:p>
      <w:pPr>
        <w:spacing w:line="840" w:lineRule="exact"/>
        <w:ind w:left="1767"/>
        <w:rPr>
          <w:rFonts w:hint="eastAsia" w:ascii="仿宋_GB2312" w:hAnsi="宋体" w:eastAsia="仿宋_GB2312" w:cs="宋体"/>
          <w:kern w:val="0"/>
          <w:sz w:val="32"/>
          <w:szCs w:val="32"/>
          <w:highlight w:val="none"/>
          <w:lang w:val="en-US" w:eastAsia="zh-CN"/>
        </w:rPr>
      </w:pPr>
    </w:p>
    <w:p>
      <w:pPr>
        <w:spacing w:line="840" w:lineRule="exact"/>
        <w:ind w:left="1767"/>
        <w:rPr>
          <w:rFonts w:hint="eastAsia" w:ascii="仿宋_GB2312" w:hAnsi="宋体" w:eastAsia="仿宋_GB2312" w:cs="宋体"/>
          <w:kern w:val="0"/>
          <w:sz w:val="32"/>
          <w:szCs w:val="32"/>
          <w:highlight w:val="none"/>
          <w:lang w:val="en-US" w:eastAsia="zh-CN"/>
        </w:rPr>
      </w:pPr>
    </w:p>
    <w:p>
      <w:pPr>
        <w:spacing w:line="640" w:lineRule="exact"/>
        <w:rPr>
          <w:rFonts w:ascii="仿宋_GB2312" w:hAnsi="黑体" w:eastAsia="仿宋_GB2312"/>
          <w:b/>
          <w:sz w:val="44"/>
          <w:szCs w:val="44"/>
          <w:highlight w:val="none"/>
        </w:rPr>
      </w:pPr>
    </w:p>
    <w:p>
      <w:pPr>
        <w:spacing w:line="640" w:lineRule="exact"/>
        <w:rPr>
          <w:rFonts w:ascii="仿宋_GB2312" w:hAnsi="黑体" w:eastAsia="仿宋_GB2312"/>
          <w:b/>
          <w:sz w:val="44"/>
          <w:szCs w:val="44"/>
          <w:highlight w:val="none"/>
        </w:rPr>
      </w:pPr>
    </w:p>
    <w:p>
      <w:pPr>
        <w:spacing w:line="640" w:lineRule="exact"/>
        <w:jc w:val="center"/>
        <w:rPr>
          <w:rFonts w:ascii="仿宋_GB2312" w:hAnsi="黑体" w:eastAsia="仿宋_GB2312"/>
          <w:b/>
          <w:sz w:val="44"/>
          <w:szCs w:val="44"/>
          <w:highlight w:val="none"/>
        </w:rPr>
      </w:pPr>
    </w:p>
    <w:p>
      <w:pPr>
        <w:spacing w:line="6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 xml:space="preserve">第二部分  2022年部门预算表格  </w:t>
      </w:r>
      <w:r>
        <w:rPr>
          <w:rFonts w:hint="eastAsia" w:ascii="仿宋_GB2312" w:hAnsi="黑体" w:eastAsia="仿宋_GB2312"/>
          <w:sz w:val="32"/>
          <w:szCs w:val="32"/>
          <w:highlight w:val="none"/>
        </w:rPr>
        <w:t xml:space="preserve">  </w:t>
      </w: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640" w:lineRule="exact"/>
        <w:ind w:left="640"/>
        <w:rPr>
          <w:rFonts w:ascii="黑体" w:hAnsi="黑体" w:eastAsia="黑体"/>
          <w:sz w:val="32"/>
          <w:szCs w:val="32"/>
          <w:highlight w:val="none"/>
        </w:rPr>
      </w:pPr>
    </w:p>
    <w:p>
      <w:pPr>
        <w:spacing w:line="840" w:lineRule="exact"/>
        <w:jc w:val="center"/>
        <w:rPr>
          <w:rFonts w:ascii="仿宋_GB2312" w:hAnsi="黑体" w:eastAsia="仿宋_GB2312"/>
          <w:b/>
          <w:sz w:val="52"/>
          <w:szCs w:val="52"/>
          <w:highlight w:val="none"/>
        </w:rPr>
      </w:pPr>
      <w:r>
        <w:rPr>
          <w:rFonts w:hint="eastAsia" w:ascii="仿宋_GB2312" w:eastAsia="仿宋_GB2312"/>
          <w:color w:val="000000"/>
          <w:sz w:val="32"/>
          <w:szCs w:val="32"/>
          <w:highlight w:val="none"/>
        </w:rPr>
        <w:t>(本部分共公开</w:t>
      </w:r>
      <w:r>
        <w:rPr>
          <w:rFonts w:ascii="仿宋_GB2312" w:eastAsia="仿宋_GB2312"/>
          <w:color w:val="000000"/>
          <w:sz w:val="32"/>
          <w:szCs w:val="32"/>
          <w:highlight w:val="none"/>
        </w:rPr>
        <w:t>10</w:t>
      </w:r>
      <w:r>
        <w:rPr>
          <w:rFonts w:hint="eastAsia" w:ascii="仿宋_GB2312" w:eastAsia="仿宋_GB2312"/>
          <w:color w:val="000000"/>
          <w:sz w:val="32"/>
          <w:szCs w:val="32"/>
          <w:highlight w:val="none"/>
        </w:rPr>
        <w:t>张表，具体按通知要求公开，注意表格顺序和连续性)</w:t>
      </w:r>
    </w:p>
    <w:p>
      <w:pPr>
        <w:spacing w:line="840" w:lineRule="exact"/>
        <w:jc w:val="both"/>
        <w:rPr>
          <w:rFonts w:ascii="仿宋_GB2312" w:hAnsi="黑体" w:eastAsia="仿宋_GB2312"/>
          <w:b/>
          <w:sz w:val="52"/>
          <w:szCs w:val="52"/>
          <w:highlight w:val="none"/>
        </w:rPr>
      </w:pPr>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第三部分  部门预算情况说明</w:t>
      </w:r>
      <w:r>
        <w:rPr>
          <w:rFonts w:hint="eastAsia" w:ascii="仿宋_GB2312" w:hAnsi="黑体" w:eastAsia="仿宋_GB2312"/>
          <w:sz w:val="32"/>
          <w:szCs w:val="32"/>
          <w:highlight w:val="none"/>
        </w:rPr>
        <w:t xml:space="preserve">  </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一、部门预算总体说明</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2022年预算收入1027956.76元，比上年预算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lang w:val="en-US" w:eastAsia="zh-CN"/>
        </w:rPr>
        <w:t>249359.76</w:t>
      </w:r>
      <w:r>
        <w:rPr>
          <w:rFonts w:hint="eastAsia" w:ascii="仿宋_GB2312" w:hAnsi="黑体" w:eastAsia="仿宋_GB2312"/>
          <w:sz w:val="32"/>
          <w:szCs w:val="32"/>
          <w:highlight w:val="none"/>
        </w:rPr>
        <w:t>元，其中：一般公共预算财政拨款收入1027956.76元，政</w:t>
      </w:r>
      <w:r>
        <w:rPr>
          <w:rFonts w:hint="eastAsia" w:ascii="仿宋_GB2312" w:hAnsi="宋体" w:eastAsia="仿宋_GB2312"/>
          <w:sz w:val="32"/>
          <w:szCs w:val="32"/>
          <w:highlight w:val="none"/>
        </w:rPr>
        <w:t>府性基金预算财政拨款收入</w:t>
      </w:r>
      <w:r>
        <w:rPr>
          <w:rFonts w:hint="eastAsia" w:ascii="仿宋_GB2312" w:hAnsi="黑体" w:eastAsia="仿宋_GB2312"/>
          <w:sz w:val="32"/>
          <w:szCs w:val="32"/>
          <w:highlight w:val="none"/>
          <w:lang w:val="en-US" w:eastAsia="zh-CN"/>
        </w:rPr>
        <w:t>0</w:t>
      </w:r>
      <w:r>
        <w:rPr>
          <w:rFonts w:hint="eastAsia" w:ascii="仿宋_GB2312" w:hAnsi="宋体" w:eastAsia="仿宋_GB2312"/>
          <w:sz w:val="32"/>
          <w:szCs w:val="32"/>
          <w:highlight w:val="none"/>
        </w:rPr>
        <w:t>元。预算支出</w:t>
      </w:r>
      <w:r>
        <w:rPr>
          <w:rFonts w:hint="eastAsia" w:ascii="仿宋_GB2312" w:hAnsi="黑体" w:eastAsia="仿宋_GB2312"/>
          <w:sz w:val="32"/>
          <w:szCs w:val="32"/>
          <w:highlight w:val="none"/>
        </w:rPr>
        <w:t>1027956.76</w:t>
      </w:r>
      <w:r>
        <w:rPr>
          <w:rFonts w:hint="eastAsia" w:ascii="仿宋_GB2312" w:hAnsi="宋体" w:eastAsia="仿宋_GB2312"/>
          <w:sz w:val="32"/>
          <w:szCs w:val="32"/>
          <w:highlight w:val="none"/>
        </w:rPr>
        <w:t>元，相应比上年预算数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32.03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我单位调入一人，职工工资正常晋升及新增人员工资等增加，医疗保险缴费及住房公积金缴费纳入单位预算</w:t>
      </w:r>
      <w:r>
        <w:rPr>
          <w:rFonts w:hint="eastAsia" w:ascii="仿宋_GB2312" w:hAnsi="黑体" w:eastAsia="仿宋_GB2312"/>
          <w:sz w:val="32"/>
          <w:szCs w:val="32"/>
          <w:highlight w:val="none"/>
        </w:rPr>
        <w:t>。</w:t>
      </w:r>
    </w:p>
    <w:p>
      <w:pPr>
        <w:spacing w:line="640" w:lineRule="exact"/>
        <w:ind w:firstLine="643" w:firstLineChars="200"/>
        <w:rPr>
          <w:rFonts w:ascii="仿宋_GB2312" w:hAnsi="宋体" w:eastAsia="仿宋_GB2312"/>
          <w:b/>
          <w:bCs/>
          <w:sz w:val="32"/>
          <w:szCs w:val="32"/>
          <w:highlight w:val="none"/>
        </w:rPr>
      </w:pPr>
      <w:r>
        <w:rPr>
          <w:rFonts w:hint="eastAsia" w:ascii="仿宋_GB2312" w:hAnsi="宋体" w:eastAsia="仿宋_GB2312"/>
          <w:b/>
          <w:bCs/>
          <w:sz w:val="32"/>
          <w:szCs w:val="32"/>
          <w:highlight w:val="none"/>
        </w:rPr>
        <w:t>支出按功能分类科目安排为：</w:t>
      </w:r>
    </w:p>
    <w:p>
      <w:pPr>
        <w:spacing w:line="640" w:lineRule="exact"/>
        <w:ind w:left="638" w:leftChars="304" w:firstLine="0" w:firstLineChars="0"/>
        <w:rPr>
          <w:rFonts w:ascii="仿宋_GB2312" w:hAnsi="宋体" w:eastAsia="仿宋_GB2312"/>
          <w:sz w:val="32"/>
          <w:szCs w:val="32"/>
          <w:highlight w:val="none"/>
        </w:rPr>
      </w:pPr>
      <w:r>
        <w:rPr>
          <w:rFonts w:hint="eastAsia" w:ascii="仿宋_GB2312" w:hAnsi="宋体" w:eastAsia="仿宋_GB2312"/>
          <w:sz w:val="32"/>
          <w:szCs w:val="32"/>
          <w:highlight w:val="none"/>
        </w:rPr>
        <w:t>一般公共服务支出</w:t>
      </w:r>
      <w:r>
        <w:rPr>
          <w:rFonts w:hint="eastAsia" w:ascii="仿宋_GB2312" w:hAnsi="黑体" w:eastAsia="仿宋_GB2312"/>
          <w:sz w:val="32"/>
          <w:szCs w:val="32"/>
          <w:highlight w:val="none"/>
        </w:rPr>
        <w:t>816436.00</w:t>
      </w:r>
      <w:r>
        <w:rPr>
          <w:rFonts w:hint="eastAsia" w:ascii="仿宋_GB2312" w:hAnsi="宋体" w:eastAsia="仿宋_GB2312"/>
          <w:sz w:val="32"/>
          <w:szCs w:val="32"/>
          <w:highlight w:val="none"/>
        </w:rPr>
        <w:t>元，其中：财政拨款</w:t>
      </w:r>
      <w:r>
        <w:rPr>
          <w:rFonts w:hint="eastAsia" w:ascii="仿宋_GB2312" w:hAnsi="黑体" w:eastAsia="仿宋_GB2312"/>
          <w:sz w:val="32"/>
          <w:szCs w:val="32"/>
          <w:highlight w:val="none"/>
        </w:rPr>
        <w:t>816436.00</w:t>
      </w:r>
      <w:r>
        <w:rPr>
          <w:rFonts w:hint="eastAsia" w:ascii="仿宋_GB2312" w:hAnsi="宋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19.09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lang w:eastAsia="zh-CN"/>
        </w:rPr>
        <w:t>原因：我单位调入一人，职工工资正常晋升及新增人员工资等增加</w:t>
      </w:r>
      <w:r>
        <w:rPr>
          <w:rFonts w:hint="eastAsia" w:ascii="仿宋_GB2312" w:hAnsi="黑体" w:eastAsia="仿宋_GB2312"/>
          <w:sz w:val="32"/>
          <w:szCs w:val="32"/>
          <w:highlight w:val="none"/>
        </w:rPr>
        <w:t>。</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rPr>
        <w:t>社会保障和就业支出98346.96</w:t>
      </w:r>
      <w:r>
        <w:rPr>
          <w:rFonts w:hint="eastAsia" w:ascii="仿宋_GB2312" w:hAnsi="黑体" w:eastAsia="仿宋_GB2312"/>
          <w:sz w:val="32"/>
          <w:szCs w:val="32"/>
          <w:highlight w:val="none"/>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5.69</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增加原因：社保缴费基数增加，相应的社保缴费增加。</w:t>
      </w:r>
    </w:p>
    <w:p>
      <w:pPr>
        <w:spacing w:line="64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卫生健康支出40324.20元，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增加原因：</w:t>
      </w:r>
      <w:r>
        <w:rPr>
          <w:rFonts w:hint="eastAsia" w:ascii="仿宋_GB2312" w:hAnsi="宋体" w:eastAsia="仿宋_GB2312"/>
          <w:sz w:val="32"/>
          <w:szCs w:val="32"/>
          <w:highlight w:val="none"/>
          <w:lang w:eastAsia="zh-CN"/>
        </w:rPr>
        <w:t>本年开始职工医疗保险缴费纳入单位预算。</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黑体" w:eastAsia="仿宋_GB2312"/>
          <w:sz w:val="32"/>
          <w:szCs w:val="32"/>
          <w:highlight w:val="none"/>
        </w:rPr>
        <w:t>住房保障支出72849.60</w:t>
      </w:r>
      <w:r>
        <w:rPr>
          <w:rFonts w:hint="eastAsia" w:ascii="仿宋_GB2312" w:hAnsi="黑体" w:eastAsia="仿宋_GB2312"/>
          <w:sz w:val="32"/>
          <w:szCs w:val="32"/>
          <w:highlight w:val="none"/>
          <w:lang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增加原因：</w:t>
      </w:r>
      <w:r>
        <w:rPr>
          <w:rFonts w:hint="eastAsia" w:ascii="仿宋_GB2312" w:hAnsi="宋体" w:eastAsia="仿宋_GB2312"/>
          <w:sz w:val="32"/>
          <w:szCs w:val="32"/>
          <w:highlight w:val="none"/>
          <w:lang w:eastAsia="zh-CN"/>
        </w:rPr>
        <w:t>本年度开始职工住房公积金缴费纳入单位预算。</w:t>
      </w:r>
    </w:p>
    <w:p>
      <w:pPr>
        <w:spacing w:line="640" w:lineRule="exact"/>
        <w:ind w:firstLine="643" w:firstLineChars="200"/>
        <w:rPr>
          <w:rFonts w:ascii="仿宋_GB2312" w:hAnsi="黑体" w:eastAsia="仿宋_GB2312"/>
          <w:b/>
          <w:sz w:val="32"/>
          <w:szCs w:val="32"/>
          <w:highlight w:val="none"/>
        </w:rPr>
      </w:pPr>
      <w:r>
        <w:rPr>
          <w:rFonts w:hint="eastAsia" w:ascii="仿宋_GB2312" w:hAnsi="黑体" w:eastAsia="仿宋_GB2312"/>
          <w:b/>
          <w:sz w:val="32"/>
          <w:szCs w:val="32"/>
          <w:highlight w:val="none"/>
        </w:rPr>
        <w:t>支出按经济分类科目安排为：</w:t>
      </w:r>
    </w:p>
    <w:p>
      <w:pPr>
        <w:spacing w:line="640" w:lineRule="exac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工资福利支出</w:t>
      </w:r>
      <w:r>
        <w:rPr>
          <w:rFonts w:hint="eastAsia" w:ascii="仿宋_GB2312" w:hAnsi="黑体" w:eastAsia="仿宋_GB2312"/>
          <w:sz w:val="32"/>
          <w:szCs w:val="32"/>
          <w:highlight w:val="none"/>
        </w:rPr>
        <w:t>1027956.76</w:t>
      </w:r>
      <w:r>
        <w:rPr>
          <w:rFonts w:hint="eastAsia" w:ascii="仿宋_GB2312" w:hAnsi="宋体" w:eastAsia="仿宋_GB2312"/>
          <w:sz w:val="32"/>
          <w:szCs w:val="32"/>
          <w:highlight w:val="none"/>
        </w:rPr>
        <w:t>元。</w:t>
      </w:r>
    </w:p>
    <w:p>
      <w:pPr>
        <w:spacing w:line="640" w:lineRule="exact"/>
        <w:ind w:firstLine="640" w:firstLineChars="200"/>
        <w:rPr>
          <w:rFonts w:ascii="仿宋_GB2312" w:hAnsi="黑体" w:eastAsia="仿宋_GB2312"/>
          <w:color w:val="FF0000"/>
          <w:sz w:val="32"/>
          <w:szCs w:val="32"/>
          <w:highlight w:val="none"/>
        </w:rPr>
      </w:pPr>
      <w:r>
        <w:rPr>
          <w:rFonts w:hint="eastAsia" w:ascii="黑体" w:hAnsi="黑体" w:eastAsia="黑体"/>
          <w:sz w:val="32"/>
          <w:szCs w:val="32"/>
          <w:highlight w:val="none"/>
        </w:rPr>
        <w:t>二、部门一般公共预算支出情况说明</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（一）一般公共服务支出</w:t>
      </w: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lang w:val="en-US" w:eastAsia="zh-CN"/>
        </w:rPr>
        <w:t>类</w:t>
      </w:r>
      <w:r>
        <w:rPr>
          <w:rFonts w:hint="eastAsia" w:ascii="楷体_GB2312" w:hAnsi="黑体" w:eastAsia="楷体_GB2312"/>
          <w:b/>
          <w:sz w:val="32"/>
          <w:szCs w:val="32"/>
          <w:highlight w:val="none"/>
          <w:lang w:eastAsia="zh-CN"/>
        </w:rPr>
        <w:t>）政府办公厅（室）及相关机构事务</w:t>
      </w:r>
      <w:r>
        <w:rPr>
          <w:rFonts w:hint="eastAsia" w:ascii="楷体_GB2312" w:hAnsi="黑体" w:eastAsia="楷体_GB2312"/>
          <w:b/>
          <w:sz w:val="32"/>
          <w:szCs w:val="32"/>
          <w:highlight w:val="none"/>
          <w:lang w:val="en-US" w:eastAsia="zh-CN"/>
        </w:rPr>
        <w:t>（款）</w:t>
      </w:r>
      <w:r>
        <w:rPr>
          <w:rFonts w:hint="eastAsia" w:ascii="仿宋_GB2312" w:hAnsi="黑体" w:eastAsia="仿宋_GB2312"/>
          <w:sz w:val="32"/>
          <w:szCs w:val="32"/>
          <w:highlight w:val="none"/>
        </w:rPr>
        <w:t>2022年预算支出816436元，</w:t>
      </w:r>
      <w:r>
        <w:rPr>
          <w:rFonts w:hint="eastAsia" w:ascii="仿宋_GB2312" w:hAnsi="黑体" w:eastAsia="仿宋_GB2312"/>
          <w:sz w:val="32"/>
          <w:szCs w:val="32"/>
          <w:highlight w:val="none"/>
          <w:lang w:val="en-US" w:eastAsia="zh-CN"/>
        </w:rPr>
        <w:t>其中：</w:t>
      </w:r>
      <w:r>
        <w:rPr>
          <w:rFonts w:hint="eastAsia" w:ascii="仿宋_GB2312" w:hAnsi="黑体" w:eastAsia="仿宋_GB2312"/>
          <w:b/>
          <w:bCs/>
          <w:sz w:val="32"/>
          <w:szCs w:val="32"/>
          <w:highlight w:val="none"/>
          <w:lang w:val="en-US" w:eastAsia="zh-CN"/>
        </w:rPr>
        <w:t>行政运行（项）</w:t>
      </w:r>
      <w:r>
        <w:rPr>
          <w:rFonts w:hint="eastAsia" w:ascii="仿宋_GB2312" w:hAnsi="黑体" w:eastAsia="仿宋_GB2312"/>
          <w:sz w:val="32"/>
          <w:szCs w:val="32"/>
          <w:highlight w:val="none"/>
        </w:rPr>
        <w:t>2022年预算支出816436元，比上年预算数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20.5</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lang w:eastAsia="zh-CN"/>
        </w:rPr>
        <w:t>主要原因为我单位调入一人，职工工资正常晋升及新增人员工资等增加</w:t>
      </w:r>
      <w:r>
        <w:rPr>
          <w:rFonts w:hint="eastAsia" w:ascii="仿宋_GB2312" w:hAnsi="黑体" w:eastAsia="仿宋_GB2312"/>
          <w:sz w:val="32"/>
          <w:szCs w:val="32"/>
          <w:highlight w:val="none"/>
        </w:rPr>
        <w:t>。</w:t>
      </w:r>
    </w:p>
    <w:p>
      <w:pPr>
        <w:spacing w:line="640" w:lineRule="exact"/>
        <w:ind w:firstLine="643" w:firstLineChars="200"/>
        <w:rPr>
          <w:rFonts w:hint="default" w:ascii="仿宋_GB2312" w:hAnsi="宋体" w:eastAsia="仿宋_GB2312"/>
          <w:sz w:val="32"/>
          <w:szCs w:val="32"/>
          <w:highlight w:val="none"/>
          <w:lang w:val="en-US" w:eastAsia="zh-CN"/>
        </w:rPr>
      </w:pPr>
      <w:r>
        <w:rPr>
          <w:rFonts w:hint="eastAsia" w:ascii="仿宋_GB2312" w:hAnsi="黑体" w:eastAsia="仿宋_GB2312"/>
          <w:b/>
          <w:sz w:val="32"/>
          <w:szCs w:val="32"/>
          <w:highlight w:val="none"/>
        </w:rPr>
        <w:t>（二）社会保障和就业支出</w:t>
      </w: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lang w:val="en-US" w:eastAsia="zh-CN"/>
        </w:rPr>
        <w:t>类</w:t>
      </w:r>
      <w:r>
        <w:rPr>
          <w:rFonts w:hint="eastAsia" w:ascii="楷体_GB2312" w:hAnsi="黑体" w:eastAsia="楷体_GB2312"/>
          <w:b/>
          <w:sz w:val="32"/>
          <w:szCs w:val="32"/>
          <w:highlight w:val="none"/>
          <w:lang w:eastAsia="zh-CN"/>
        </w:rPr>
        <w:t>）行政事业单位养老支出</w:t>
      </w:r>
      <w:r>
        <w:rPr>
          <w:rFonts w:hint="eastAsia" w:ascii="楷体_GB2312" w:hAnsi="黑体" w:eastAsia="楷体_GB2312"/>
          <w:b/>
          <w:sz w:val="32"/>
          <w:szCs w:val="32"/>
          <w:highlight w:val="none"/>
          <w:lang w:val="en-US" w:eastAsia="zh-CN"/>
        </w:rPr>
        <w:t>（款）</w:t>
      </w:r>
      <w:r>
        <w:rPr>
          <w:rFonts w:hint="eastAsia" w:ascii="仿宋_GB2312" w:hAnsi="黑体" w:eastAsia="仿宋_GB2312"/>
          <w:sz w:val="32"/>
          <w:szCs w:val="32"/>
          <w:highlight w:val="none"/>
        </w:rPr>
        <w:t>2022年预算支出97132.80</w:t>
      </w:r>
      <w:r>
        <w:rPr>
          <w:rFonts w:hint="eastAsia" w:ascii="仿宋_GB2312" w:hAnsi="黑体" w:eastAsia="仿宋_GB2312"/>
          <w:sz w:val="32"/>
          <w:szCs w:val="32"/>
          <w:highlight w:val="none"/>
          <w:lang w:val="en-US" w:eastAsia="zh-CN"/>
        </w:rPr>
        <w:t>元，其中：</w:t>
      </w:r>
      <w:r>
        <w:rPr>
          <w:rFonts w:hint="eastAsia" w:ascii="仿宋_GB2312" w:hAnsi="黑体" w:eastAsia="仿宋_GB2312"/>
          <w:b/>
          <w:bCs/>
          <w:sz w:val="32"/>
          <w:szCs w:val="32"/>
          <w:highlight w:val="none"/>
          <w:lang w:val="en-US" w:eastAsia="zh-CN"/>
        </w:rPr>
        <w:t>机关事业单位基本养老保险缴费</w:t>
      </w:r>
      <w:r>
        <w:rPr>
          <w:rFonts w:hint="eastAsia" w:ascii="仿宋_GB2312" w:hAnsi="黑体" w:eastAsia="仿宋_GB2312"/>
          <w:b/>
          <w:bCs/>
          <w:sz w:val="32"/>
          <w:szCs w:val="32"/>
          <w:highlight w:val="none"/>
          <w:lang w:val="en-US" w:eastAsia="zh-CN"/>
        </w:rPr>
        <w:t>（</w:t>
      </w:r>
      <w:r>
        <w:rPr>
          <w:rFonts w:hint="eastAsia" w:ascii="仿宋_GB2312" w:hAnsi="黑体" w:eastAsia="仿宋_GB2312"/>
          <w:b/>
          <w:bCs/>
          <w:sz w:val="32"/>
          <w:szCs w:val="32"/>
          <w:highlight w:val="none"/>
          <w:lang w:val="en-US" w:eastAsia="zh-CN"/>
        </w:rPr>
        <w:t>项）</w:t>
      </w:r>
      <w:r>
        <w:rPr>
          <w:rFonts w:hint="eastAsia" w:ascii="仿宋_GB2312" w:hAnsi="黑体" w:eastAsia="仿宋_GB2312"/>
          <w:sz w:val="32"/>
          <w:szCs w:val="32"/>
          <w:highlight w:val="none"/>
        </w:rPr>
        <w:t>2022年预算支出97132.80</w:t>
      </w:r>
      <w:r>
        <w:rPr>
          <w:rFonts w:hint="eastAsia" w:ascii="仿宋_GB2312" w:hAnsi="黑体" w:eastAsia="仿宋_GB2312"/>
          <w:sz w:val="32"/>
          <w:szCs w:val="32"/>
          <w:highlight w:val="none"/>
          <w:lang w:val="en-US"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4.4%，</w:t>
      </w:r>
      <w:r>
        <w:rPr>
          <w:rFonts w:hint="eastAsia" w:ascii="仿宋_GB2312" w:hAnsi="黑体" w:eastAsia="仿宋_GB2312"/>
          <w:sz w:val="32"/>
          <w:szCs w:val="32"/>
          <w:highlight w:val="none"/>
          <w:lang w:val="en-US" w:eastAsia="zh-CN"/>
        </w:rPr>
        <w:t>增加</w:t>
      </w:r>
      <w:r>
        <w:rPr>
          <w:rFonts w:hint="eastAsia" w:ascii="仿宋_GB2312" w:hAnsi="宋体" w:eastAsia="仿宋_GB2312"/>
          <w:sz w:val="32"/>
          <w:szCs w:val="32"/>
          <w:highlight w:val="none"/>
          <w:lang w:val="en-US" w:eastAsia="zh-CN"/>
        </w:rPr>
        <w:t>主要原因为社保缴费基数增加，相应的社保缴费增加。</w:t>
      </w:r>
      <w:r>
        <w:rPr>
          <w:rFonts w:hint="eastAsia" w:ascii="仿宋_GB2312" w:hAnsi="宋体" w:eastAsia="仿宋_GB2312"/>
          <w:b/>
          <w:bCs/>
          <w:sz w:val="32"/>
          <w:szCs w:val="32"/>
          <w:highlight w:val="none"/>
          <w:lang w:val="en-US" w:eastAsia="zh-CN"/>
        </w:rPr>
        <w:t>财政对其他社会保险基金的补助（款）</w:t>
      </w:r>
      <w:r>
        <w:rPr>
          <w:rFonts w:hint="eastAsia" w:ascii="仿宋_GB2312" w:hAnsi="黑体" w:eastAsia="仿宋_GB2312"/>
          <w:sz w:val="32"/>
          <w:szCs w:val="32"/>
          <w:highlight w:val="none"/>
        </w:rPr>
        <w:t>2022年预算支出1214.16</w:t>
      </w:r>
      <w:r>
        <w:rPr>
          <w:rFonts w:hint="eastAsia" w:ascii="仿宋_GB2312" w:hAnsi="黑体" w:eastAsia="仿宋_GB2312"/>
          <w:sz w:val="32"/>
          <w:szCs w:val="32"/>
          <w:highlight w:val="none"/>
          <w:lang w:val="en-US" w:eastAsia="zh-CN"/>
        </w:rPr>
        <w:t>元，其中:</w:t>
      </w:r>
      <w:r>
        <w:rPr>
          <w:rFonts w:hint="eastAsia" w:ascii="仿宋_GB2312" w:hAnsi="黑体" w:eastAsia="仿宋_GB2312"/>
          <w:b/>
          <w:bCs/>
          <w:sz w:val="32"/>
          <w:szCs w:val="32"/>
          <w:highlight w:val="none"/>
          <w:lang w:val="en-US" w:eastAsia="zh-CN"/>
        </w:rPr>
        <w:t>财政对工伤保险基金的补助</w:t>
      </w:r>
      <w:r>
        <w:rPr>
          <w:rFonts w:hint="eastAsia" w:ascii="仿宋_GB2312" w:hAnsi="黑体" w:eastAsia="仿宋_GB2312"/>
          <w:b/>
          <w:bCs/>
          <w:sz w:val="32"/>
          <w:szCs w:val="32"/>
          <w:highlight w:val="none"/>
          <w:lang w:val="en-US" w:eastAsia="zh-CN"/>
        </w:rPr>
        <w:t>（项）</w:t>
      </w:r>
      <w:r>
        <w:rPr>
          <w:rFonts w:hint="eastAsia" w:ascii="仿宋_GB2312" w:hAnsi="黑体" w:eastAsia="仿宋_GB2312"/>
          <w:sz w:val="32"/>
          <w:szCs w:val="32"/>
          <w:highlight w:val="none"/>
        </w:rPr>
        <w:t>2022年预算支出1214.16</w:t>
      </w:r>
      <w:r>
        <w:rPr>
          <w:rFonts w:hint="eastAsia" w:ascii="仿宋_GB2312" w:hAnsi="黑体" w:eastAsia="仿宋_GB2312"/>
          <w:sz w:val="32"/>
          <w:szCs w:val="32"/>
          <w:highlight w:val="none"/>
          <w:lang w:val="en-US" w:eastAsia="zh-CN"/>
        </w:rPr>
        <w:t>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黑体" w:eastAsia="仿宋_GB2312"/>
          <w:sz w:val="32"/>
          <w:szCs w:val="32"/>
          <w:highlight w:val="none"/>
          <w:lang w:val="en-US" w:eastAsia="zh-CN"/>
        </w:rPr>
        <w:t>增加原因：上年无此项。</w:t>
      </w:r>
    </w:p>
    <w:p>
      <w:pPr>
        <w:spacing w:line="640" w:lineRule="exact"/>
        <w:ind w:firstLine="643" w:firstLineChars="200"/>
        <w:rPr>
          <w:rFonts w:hint="eastAsia" w:ascii="仿宋_GB2312" w:hAnsi="宋体" w:eastAsia="仿宋_GB2312"/>
          <w:sz w:val="32"/>
          <w:szCs w:val="32"/>
          <w:highlight w:val="none"/>
          <w:lang w:val="en-US" w:eastAsia="zh-CN"/>
        </w:rPr>
      </w:pPr>
      <w:r>
        <w:rPr>
          <w:rFonts w:hint="eastAsia" w:ascii="仿宋_GB2312" w:hAnsi="宋体" w:eastAsia="仿宋_GB2312"/>
          <w:b/>
          <w:bCs/>
          <w:sz w:val="32"/>
          <w:szCs w:val="32"/>
          <w:highlight w:val="none"/>
          <w:lang w:val="en-US" w:eastAsia="zh-CN"/>
        </w:rPr>
        <w:t>（三）卫生健康支出（类）财政对基本医疗保险基金的补助</w:t>
      </w:r>
      <w:r>
        <w:rPr>
          <w:rFonts w:hint="eastAsia" w:ascii="楷体_GB2312" w:hAnsi="黑体" w:eastAsia="楷体_GB2312"/>
          <w:b/>
          <w:sz w:val="32"/>
          <w:szCs w:val="32"/>
          <w:highlight w:val="none"/>
          <w:lang w:val="en-US" w:eastAsia="zh-CN"/>
        </w:rPr>
        <w:t>（款）</w:t>
      </w:r>
      <w:r>
        <w:rPr>
          <w:rFonts w:hint="eastAsia" w:ascii="仿宋_GB2312" w:hAnsi="黑体" w:eastAsia="仿宋_GB2312"/>
          <w:sz w:val="32"/>
          <w:szCs w:val="32"/>
          <w:highlight w:val="none"/>
        </w:rPr>
        <w:t>2022年预算支出</w:t>
      </w:r>
      <w:r>
        <w:rPr>
          <w:rFonts w:hint="eastAsia" w:ascii="仿宋_GB2312" w:hAnsi="宋体" w:eastAsia="仿宋_GB2312"/>
          <w:sz w:val="32"/>
          <w:szCs w:val="32"/>
          <w:highlight w:val="none"/>
          <w:lang w:val="en-US" w:eastAsia="zh-CN"/>
        </w:rPr>
        <w:t>40324.20元，其中：财政对职工基本医疗保险基金的补助</w:t>
      </w:r>
      <w:r>
        <w:rPr>
          <w:rFonts w:hint="eastAsia" w:ascii="仿宋_GB2312" w:hAnsi="黑体" w:eastAsia="仿宋_GB2312"/>
          <w:b/>
          <w:bCs/>
          <w:sz w:val="32"/>
          <w:szCs w:val="32"/>
          <w:highlight w:val="none"/>
          <w:lang w:val="en-US" w:eastAsia="zh-CN"/>
        </w:rPr>
        <w:t>（项）</w:t>
      </w:r>
      <w:r>
        <w:rPr>
          <w:rFonts w:hint="eastAsia" w:ascii="仿宋_GB2312" w:hAnsi="黑体" w:eastAsia="仿宋_GB2312"/>
          <w:sz w:val="32"/>
          <w:szCs w:val="32"/>
          <w:highlight w:val="none"/>
        </w:rPr>
        <w:t>2022年预算支出</w:t>
      </w:r>
      <w:r>
        <w:rPr>
          <w:rFonts w:hint="eastAsia" w:ascii="仿宋_GB2312" w:hAnsi="宋体" w:eastAsia="仿宋_GB2312"/>
          <w:sz w:val="32"/>
          <w:szCs w:val="32"/>
          <w:highlight w:val="none"/>
          <w:lang w:val="en-US" w:eastAsia="zh-CN"/>
        </w:rPr>
        <w:t>40324.20元，</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lang w:eastAsia="zh-CN"/>
        </w:rPr>
        <w:t>主要原因为本年开始职工医疗保险缴费纳入单位预算。</w:t>
      </w:r>
    </w:p>
    <w:p>
      <w:pPr>
        <w:spacing w:line="640" w:lineRule="exact"/>
        <w:ind w:firstLine="643" w:firstLineChars="200"/>
        <w:rPr>
          <w:rFonts w:ascii="仿宋_GB2312" w:hAnsi="黑体" w:eastAsia="仿宋_GB2312"/>
          <w:sz w:val="32"/>
          <w:szCs w:val="32"/>
          <w:highlight w:val="none"/>
        </w:rPr>
      </w:pPr>
      <w:r>
        <w:rPr>
          <w:rFonts w:hint="eastAsia" w:ascii="仿宋_GB2312" w:hAnsi="黑体" w:eastAsia="仿宋_GB2312"/>
          <w:b/>
          <w:bCs/>
          <w:sz w:val="32"/>
          <w:szCs w:val="32"/>
          <w:highlight w:val="none"/>
          <w:lang w:eastAsia="zh-CN"/>
        </w:rPr>
        <w:t>（四）</w:t>
      </w:r>
      <w:r>
        <w:rPr>
          <w:rFonts w:hint="eastAsia" w:ascii="仿宋_GB2312" w:hAnsi="黑体" w:eastAsia="仿宋_GB2312"/>
          <w:b/>
          <w:bCs/>
          <w:sz w:val="32"/>
          <w:szCs w:val="32"/>
          <w:highlight w:val="none"/>
        </w:rPr>
        <w:t>住房保障支出</w:t>
      </w:r>
      <w:r>
        <w:rPr>
          <w:rFonts w:hint="eastAsia" w:ascii="仿宋_GB2312" w:hAnsi="黑体" w:eastAsia="仿宋_GB2312"/>
          <w:b/>
          <w:bCs/>
          <w:sz w:val="32"/>
          <w:szCs w:val="32"/>
          <w:highlight w:val="none"/>
          <w:lang w:eastAsia="zh-CN"/>
        </w:rPr>
        <w:t>（</w:t>
      </w:r>
      <w:r>
        <w:rPr>
          <w:rFonts w:hint="eastAsia" w:ascii="仿宋_GB2312" w:hAnsi="黑体" w:eastAsia="仿宋_GB2312"/>
          <w:b/>
          <w:bCs/>
          <w:sz w:val="32"/>
          <w:szCs w:val="32"/>
          <w:highlight w:val="none"/>
          <w:lang w:val="en-US" w:eastAsia="zh-CN"/>
        </w:rPr>
        <w:t>类</w:t>
      </w:r>
      <w:r>
        <w:rPr>
          <w:rFonts w:hint="eastAsia" w:ascii="仿宋_GB2312" w:hAnsi="黑体" w:eastAsia="仿宋_GB2312"/>
          <w:b/>
          <w:bCs/>
          <w:sz w:val="32"/>
          <w:szCs w:val="32"/>
          <w:highlight w:val="none"/>
          <w:lang w:eastAsia="zh-CN"/>
        </w:rPr>
        <w:t>）住房改革支出</w:t>
      </w:r>
      <w:r>
        <w:rPr>
          <w:rFonts w:hint="eastAsia" w:ascii="楷体_GB2312" w:hAnsi="黑体" w:eastAsia="楷体_GB2312"/>
          <w:b/>
          <w:sz w:val="32"/>
          <w:szCs w:val="32"/>
          <w:highlight w:val="none"/>
          <w:lang w:val="en-US" w:eastAsia="zh-CN"/>
        </w:rPr>
        <w:t>（款）</w:t>
      </w:r>
      <w:r>
        <w:rPr>
          <w:rFonts w:hint="eastAsia" w:ascii="仿宋_GB2312" w:hAnsi="黑体" w:eastAsia="仿宋_GB2312"/>
          <w:sz w:val="32"/>
          <w:szCs w:val="32"/>
          <w:highlight w:val="none"/>
        </w:rPr>
        <w:t>2022年预算支出72849.60</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lang w:val="en-US" w:eastAsia="zh-CN"/>
        </w:rPr>
        <w:t>其中:住房公积金</w:t>
      </w:r>
      <w:r>
        <w:rPr>
          <w:rFonts w:hint="eastAsia" w:ascii="仿宋_GB2312" w:hAnsi="黑体" w:eastAsia="仿宋_GB2312"/>
          <w:b/>
          <w:bCs/>
          <w:sz w:val="32"/>
          <w:szCs w:val="32"/>
          <w:highlight w:val="none"/>
          <w:lang w:val="en-US" w:eastAsia="zh-CN"/>
        </w:rPr>
        <w:t>（项）</w:t>
      </w:r>
      <w:r>
        <w:rPr>
          <w:rFonts w:hint="eastAsia" w:ascii="仿宋_GB2312" w:hAnsi="黑体" w:eastAsia="仿宋_GB2312"/>
          <w:sz w:val="32"/>
          <w:szCs w:val="32"/>
          <w:highlight w:val="none"/>
        </w:rPr>
        <w:t>2022年预算支出72849.60</w:t>
      </w:r>
      <w:r>
        <w:rPr>
          <w:rFonts w:hint="eastAsia" w:ascii="仿宋_GB2312" w:hAnsi="黑体" w:eastAsia="仿宋_GB2312"/>
          <w:sz w:val="32"/>
          <w:szCs w:val="32"/>
          <w:highlight w:val="none"/>
          <w:lang w:eastAsia="zh-CN"/>
        </w:rPr>
        <w:t>元</w:t>
      </w:r>
      <w:r>
        <w:rPr>
          <w:rFonts w:hint="eastAsia" w:ascii="仿宋_GB2312" w:hAnsi="黑体" w:eastAsia="仿宋_GB2312"/>
          <w:sz w:val="32"/>
          <w:szCs w:val="32"/>
          <w:highlight w:val="none"/>
          <w:lang w:val="en-US" w:eastAsia="zh-CN"/>
        </w:rPr>
        <w:t>,</w:t>
      </w:r>
      <w:r>
        <w:rPr>
          <w:rFonts w:hint="eastAsia" w:ascii="仿宋_GB2312" w:hAnsi="宋体" w:eastAsia="仿宋_GB2312"/>
          <w:sz w:val="32"/>
          <w:szCs w:val="32"/>
          <w:highlight w:val="none"/>
        </w:rPr>
        <w:t>比上年预算数</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增加</w:t>
      </w:r>
      <w:r>
        <w:rPr>
          <w:rFonts w:hint="eastAsia" w:ascii="仿宋_GB2312" w:hAnsi="宋体" w:eastAsia="仿宋_GB2312"/>
          <w:sz w:val="32"/>
          <w:szCs w:val="32"/>
          <w:highlight w:val="none"/>
          <w:lang w:eastAsia="zh-CN"/>
        </w:rPr>
        <w:t>主要原因为本年度开始职工住房公积金缴费纳入单位预算。</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三、部门一般公共预算基本支出情况说明</w:t>
      </w:r>
    </w:p>
    <w:p>
      <w:pPr>
        <w:ind w:firstLine="640" w:firstLineChars="200"/>
        <w:rPr>
          <w:highlight w:val="none"/>
        </w:rPr>
      </w:pPr>
      <w:r>
        <w:rPr>
          <w:rFonts w:hint="eastAsia" w:ascii="仿宋_GB2312" w:hAnsi="黑体" w:eastAsia="仿宋_GB2312"/>
          <w:sz w:val="32"/>
          <w:szCs w:val="32"/>
          <w:highlight w:val="none"/>
        </w:rPr>
        <w:t>2022年一般公共预算基本支出</w:t>
      </w:r>
      <w:r>
        <w:rPr>
          <w:rFonts w:hint="eastAsia" w:ascii="仿宋_GB2312" w:hAnsi="宋体" w:eastAsia="仿宋_GB2312"/>
          <w:sz w:val="32"/>
          <w:szCs w:val="32"/>
          <w:highlight w:val="none"/>
        </w:rPr>
        <w:t>1027956.76</w:t>
      </w:r>
      <w:r>
        <w:rPr>
          <w:rFonts w:hint="eastAsia" w:ascii="仿宋_GB2312" w:hAnsi="黑体" w:eastAsia="仿宋_GB2312"/>
          <w:sz w:val="32"/>
          <w:szCs w:val="32"/>
          <w:highlight w:val="none"/>
        </w:rPr>
        <w:t>元，其中：人员经费1027956.76元，单位运转经费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元，专项资金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w:t>
      </w:r>
      <w:r>
        <w:rPr>
          <w:rFonts w:hint="eastAsia" w:ascii="仿宋_GB2312" w:hAnsi="宋体" w:eastAsia="仿宋_GB2312"/>
          <w:sz w:val="32"/>
          <w:szCs w:val="32"/>
          <w:highlight w:val="none"/>
          <w:lang w:eastAsia="zh-CN"/>
        </w:rPr>
        <w:t>增加</w:t>
      </w:r>
      <w:r>
        <w:rPr>
          <w:rFonts w:hint="eastAsia" w:ascii="仿宋_GB2312" w:hAnsi="黑体" w:eastAsia="仿宋_GB2312"/>
          <w:sz w:val="32"/>
          <w:szCs w:val="32"/>
          <w:highlight w:val="none"/>
          <w:lang w:val="en-US" w:eastAsia="zh-CN"/>
        </w:rPr>
        <w:t>32.03</w:t>
      </w:r>
      <w:r>
        <w:rPr>
          <w:rFonts w:hint="eastAsia" w:ascii="仿宋_GB2312" w:hAnsi="宋体" w:eastAsia="仿宋_GB2312"/>
          <w:sz w:val="32"/>
          <w:szCs w:val="32"/>
          <w:highlight w:val="none"/>
        </w:rPr>
        <w:t>%</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增加</w:t>
      </w:r>
      <w:r>
        <w:rPr>
          <w:rFonts w:hint="eastAsia" w:ascii="仿宋_GB2312" w:hAnsi="黑体" w:eastAsia="仿宋_GB2312"/>
          <w:sz w:val="32"/>
          <w:szCs w:val="32"/>
          <w:highlight w:val="none"/>
          <w:lang w:eastAsia="zh-CN"/>
        </w:rPr>
        <w:t>主要原因为</w:t>
      </w:r>
      <w:r>
        <w:rPr>
          <w:rFonts w:hint="eastAsia" w:ascii="仿宋_GB2312" w:hAnsi="宋体" w:eastAsia="仿宋_GB2312"/>
          <w:sz w:val="32"/>
          <w:szCs w:val="32"/>
          <w:highlight w:val="none"/>
          <w:lang w:eastAsia="zh-CN"/>
        </w:rPr>
        <w:t>我单位调入一人，职工工资正常晋升及新增人员工资等增加，医疗保险缴费及住房公积金缴费纳入单位预算</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四、部门“三公”经费情况说明</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2022年“三公”经费预</w:t>
      </w:r>
      <w:r>
        <w:rPr>
          <w:rFonts w:hint="eastAsia" w:ascii="仿宋_GB2312" w:hAnsi="黑体" w:eastAsia="仿宋_GB2312"/>
          <w:sz w:val="32"/>
          <w:szCs w:val="32"/>
          <w:highlight w:val="none"/>
          <w:lang w:val="en-US" w:eastAsia="zh-CN"/>
        </w:rPr>
        <w:t xml:space="preserve"> 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元，主要原因是</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（一）因公出国（境）费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元，变化情况</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（二）公务接待费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r>
        <w:rPr>
          <w:rFonts w:hint="eastAsia" w:ascii="仿宋_GB2312" w:hAnsi="黑体" w:eastAsia="仿宋_GB2312"/>
          <w:sz w:val="32"/>
          <w:szCs w:val="32"/>
          <w:highlight w:val="none"/>
          <w:lang w:eastAsia="zh-CN"/>
        </w:rPr>
        <w:t>无</w:t>
      </w:r>
      <w:r>
        <w:rPr>
          <w:rFonts w:hint="eastAsia" w:ascii="仿宋_GB2312" w:hAnsi="黑体" w:eastAsia="仿宋_GB2312"/>
          <w:sz w:val="32"/>
          <w:szCs w:val="32"/>
          <w:highlight w:val="none"/>
        </w:rPr>
        <w:t>变化情况。</w:t>
      </w:r>
    </w:p>
    <w:p>
      <w:pPr>
        <w:spacing w:line="640" w:lineRule="exact"/>
        <w:ind w:firstLine="643" w:firstLineChars="200"/>
        <w:rPr>
          <w:rFonts w:ascii="仿宋_GB2312" w:hAnsi="黑体" w:eastAsia="仿宋_GB2312"/>
          <w:color w:val="FF0000"/>
          <w:sz w:val="32"/>
          <w:szCs w:val="32"/>
          <w:highlight w:val="none"/>
        </w:rPr>
      </w:pPr>
      <w:r>
        <w:rPr>
          <w:rFonts w:hint="eastAsia" w:ascii="楷体_GB2312" w:hAnsi="黑体" w:eastAsia="楷体_GB2312"/>
          <w:b/>
          <w:sz w:val="32"/>
          <w:szCs w:val="32"/>
          <w:highlight w:val="none"/>
        </w:rPr>
        <w:t>（三）公务用车购置和运行</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元，其中：公务用车购置费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元，比变化情况；公务用车运行费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(四）会议费</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仿宋_GB2312" w:hAnsi="黑体" w:eastAsia="仿宋_GB2312"/>
          <w:sz w:val="32"/>
          <w:szCs w:val="32"/>
          <w:highlight w:val="none"/>
        </w:rPr>
      </w:pPr>
      <w:r>
        <w:rPr>
          <w:rFonts w:hint="eastAsia" w:ascii="仿宋_GB2312" w:hAnsi="黑体" w:eastAsia="仿宋_GB2312"/>
          <w:color w:val="FF0000"/>
          <w:sz w:val="32"/>
          <w:szCs w:val="32"/>
          <w:highlight w:val="none"/>
        </w:rPr>
        <w:t xml:space="preserve"> </w:t>
      </w:r>
      <w:r>
        <w:rPr>
          <w:rFonts w:hint="eastAsia" w:ascii="楷体_GB2312" w:hAnsi="黑体" w:eastAsia="楷体_GB2312"/>
          <w:b/>
          <w:sz w:val="32"/>
          <w:szCs w:val="32"/>
          <w:highlight w:val="none"/>
        </w:rPr>
        <w:t>(五) 培训费</w:t>
      </w:r>
      <w:r>
        <w:rPr>
          <w:rFonts w:hint="eastAsia" w:ascii="楷体_GB2312" w:hAnsi="黑体" w:eastAsia="楷体_GB2312"/>
          <w:b/>
          <w:sz w:val="32"/>
          <w:szCs w:val="32"/>
          <w:highlight w:val="none"/>
          <w:lang w:val="en-US" w:eastAsia="zh-CN"/>
        </w:rPr>
        <w:t>0</w:t>
      </w:r>
      <w:r>
        <w:rPr>
          <w:rFonts w:hint="eastAsia" w:ascii="仿宋_GB2312" w:hAnsi="黑体" w:eastAsia="仿宋_GB2312"/>
          <w:sz w:val="32"/>
          <w:szCs w:val="32"/>
          <w:highlight w:val="none"/>
        </w:rPr>
        <w:t>元，比上年预算数减少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元，减少</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w:t>
      </w:r>
    </w:p>
    <w:p>
      <w:pPr>
        <w:spacing w:line="6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五、部门机关运行经费及政府采购预算情况说明</w:t>
      </w:r>
    </w:p>
    <w:p>
      <w:pPr>
        <w:spacing w:line="6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2022年机关运行经费预算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元，比上年预算数增加</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元，增长</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%，其中：政府采购货物预算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元，政府采购工程预算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元，政府采购服务预算</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元。</w:t>
      </w:r>
    </w:p>
    <w:p>
      <w:pPr>
        <w:spacing w:line="640" w:lineRule="exact"/>
        <w:jc w:val="both"/>
        <w:rPr>
          <w:rFonts w:ascii="仿宋_GB2312" w:hAnsi="黑体" w:eastAsia="仿宋_GB2312"/>
          <w:b/>
          <w:sz w:val="44"/>
          <w:szCs w:val="44"/>
          <w:highlight w:val="none"/>
        </w:rPr>
      </w:pPr>
    </w:p>
    <w:p>
      <w:pPr>
        <w:spacing w:line="640" w:lineRule="exact"/>
        <w:jc w:val="both"/>
        <w:rPr>
          <w:rFonts w:ascii="仿宋_GB2312" w:hAnsi="黑体" w:eastAsia="仿宋_GB2312"/>
          <w:b/>
          <w:sz w:val="44"/>
          <w:szCs w:val="44"/>
          <w:highlight w:val="none"/>
        </w:rPr>
      </w:pPr>
      <w:bookmarkStart w:id="0" w:name="_GoBack"/>
      <w:bookmarkEnd w:id="0"/>
    </w:p>
    <w:p>
      <w:pPr>
        <w:spacing w:line="840" w:lineRule="exact"/>
        <w:jc w:val="center"/>
        <w:rPr>
          <w:rFonts w:ascii="仿宋_GB2312" w:hAnsi="黑体" w:eastAsia="仿宋_GB2312"/>
          <w:sz w:val="32"/>
          <w:szCs w:val="32"/>
          <w:highlight w:val="none"/>
        </w:rPr>
      </w:pPr>
      <w:r>
        <w:rPr>
          <w:rFonts w:hint="eastAsia" w:ascii="仿宋_GB2312" w:hAnsi="黑体" w:eastAsia="仿宋_GB2312"/>
          <w:b/>
          <w:sz w:val="52"/>
          <w:szCs w:val="52"/>
          <w:highlight w:val="none"/>
        </w:rPr>
        <w:t>第四部分  名词解释</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（一）财政拨款收入：</w:t>
      </w:r>
      <w:r>
        <w:rPr>
          <w:rFonts w:ascii="仿宋_GB2312" w:hAnsi="黑体" w:eastAsia="仿宋_GB2312"/>
          <w:sz w:val="32"/>
          <w:szCs w:val="32"/>
          <w:highlight w:val="none"/>
        </w:rPr>
        <w:t>指由</w:t>
      </w:r>
      <w:r>
        <w:rPr>
          <w:rFonts w:hint="eastAsia" w:ascii="仿宋_GB2312" w:hAnsi="黑体" w:eastAsia="仿宋_GB2312"/>
          <w:sz w:val="32"/>
          <w:szCs w:val="32"/>
          <w:highlight w:val="none"/>
        </w:rPr>
        <w:t>县级</w:t>
      </w:r>
      <w:r>
        <w:rPr>
          <w:rFonts w:ascii="仿宋_GB2312" w:hAnsi="黑体" w:eastAsia="仿宋_GB2312"/>
          <w:sz w:val="32"/>
          <w:szCs w:val="32"/>
          <w:highlight w:val="none"/>
        </w:rPr>
        <w:t>财政拨款形成的部门收入。按照现行预算管理制度，</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部门预算中反映的财政拨款包括一般公共预算财政拨款和政府性基金预算财政拨款。</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（二）上年结转：</w:t>
      </w:r>
      <w:r>
        <w:rPr>
          <w:rFonts w:ascii="仿宋_GB2312" w:hAnsi="黑体" w:eastAsia="仿宋_GB2312"/>
          <w:sz w:val="32"/>
          <w:szCs w:val="32"/>
          <w:highlight w:val="none"/>
        </w:rPr>
        <w:t>指部门和单位以前年度尚未完成，结转到本年度按有关规定继续使用的资金。</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（三）基本支出：</w:t>
      </w:r>
      <w:r>
        <w:rPr>
          <w:rFonts w:ascii="仿宋_GB2312" w:hAnsi="黑体" w:eastAsia="仿宋_GB2312"/>
          <w:sz w:val="32"/>
          <w:szCs w:val="32"/>
          <w:highlight w:val="none"/>
        </w:rPr>
        <w:t>指为保障机构正常运转、完成日常工作任务而发生的人员支出和公用支出。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（四）项目支出：</w:t>
      </w:r>
      <w:r>
        <w:rPr>
          <w:rFonts w:ascii="仿宋_GB2312" w:hAnsi="黑体" w:eastAsia="仿宋_GB2312"/>
          <w:sz w:val="32"/>
          <w:szCs w:val="32"/>
          <w:highlight w:val="none"/>
        </w:rPr>
        <w:t>指在基本支出之外为完成特定行政任务和事业发展目标所发生的支出。</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（五）三公经费：</w:t>
      </w:r>
      <w:r>
        <w:rPr>
          <w:rFonts w:ascii="仿宋_GB2312" w:hAnsi="黑体" w:eastAsia="仿宋_GB2312"/>
          <w:sz w:val="32"/>
          <w:szCs w:val="32"/>
          <w:highlight w:val="none"/>
        </w:rPr>
        <w:t>是指</w:t>
      </w:r>
      <w:r>
        <w:rPr>
          <w:rFonts w:hint="eastAsia" w:ascii="仿宋_GB2312" w:hAnsi="黑体" w:eastAsia="仿宋_GB2312"/>
          <w:sz w:val="32"/>
          <w:szCs w:val="32"/>
          <w:highlight w:val="none"/>
        </w:rPr>
        <w:t>县级</w:t>
      </w:r>
      <w:r>
        <w:rPr>
          <w:rFonts w:ascii="仿宋_GB2312" w:hAnsi="黑体" w:eastAsia="仿宋_GB2312"/>
          <w:sz w:val="32"/>
          <w:szCs w:val="32"/>
          <w:highlight w:val="none"/>
        </w:rPr>
        <w:t>部门用财政拨款安排的因公出国（境）费，公务接待费</w:t>
      </w:r>
      <w:r>
        <w:rPr>
          <w:rFonts w:hint="eastAsia" w:ascii="仿宋_GB2312" w:hAnsi="黑体" w:eastAsia="仿宋_GB2312"/>
          <w:sz w:val="32"/>
          <w:szCs w:val="32"/>
          <w:highlight w:val="none"/>
        </w:rPr>
        <w:t>，</w:t>
      </w:r>
      <w:r>
        <w:rPr>
          <w:rFonts w:ascii="仿宋_GB2312" w:hAnsi="黑体" w:eastAsia="仿宋_GB2312"/>
          <w:sz w:val="32"/>
          <w:szCs w:val="32"/>
          <w:highlight w:val="none"/>
        </w:rPr>
        <w:t>公务用车购置及运行费。</w:t>
      </w:r>
    </w:p>
    <w:p>
      <w:pPr>
        <w:spacing w:line="640" w:lineRule="exact"/>
        <w:ind w:firstLine="643" w:firstLineChars="200"/>
        <w:rPr>
          <w:rFonts w:ascii="仿宋_GB2312" w:hAnsi="黑体" w:eastAsia="仿宋_GB2312"/>
          <w:sz w:val="32"/>
          <w:szCs w:val="32"/>
          <w:highlight w:val="none"/>
        </w:rPr>
      </w:pPr>
      <w:r>
        <w:rPr>
          <w:rFonts w:hint="eastAsia" w:ascii="楷体_GB2312" w:hAnsi="黑体" w:eastAsia="楷体_GB2312"/>
          <w:b/>
          <w:sz w:val="32"/>
          <w:szCs w:val="32"/>
          <w:highlight w:val="none"/>
        </w:rPr>
        <w:t>（六）机关运行经费：</w:t>
      </w:r>
      <w:r>
        <w:rPr>
          <w:rFonts w:ascii="仿宋_GB2312" w:hAnsi="黑体" w:eastAsia="仿宋_GB2312"/>
          <w:sz w:val="32"/>
          <w:szCs w:val="32"/>
          <w:highlight w:val="none"/>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ascii="仿宋_GB2312" w:hAnsi="黑体" w:eastAsia="仿宋_GB2312"/>
          <w:sz w:val="32"/>
          <w:szCs w:val="32"/>
          <w:highlight w:val="none"/>
        </w:rPr>
      </w:pPr>
    </w:p>
    <w:p>
      <w:pPr>
        <w:ind w:firstLine="643" w:firstLineChars="200"/>
        <w:jc w:val="center"/>
        <w:rPr>
          <w:rFonts w:ascii="仿宋_GB2312" w:hAnsi="黑体" w:eastAsia="仿宋_GB2312"/>
          <w:b/>
          <w:bCs/>
          <w:sz w:val="32"/>
          <w:szCs w:val="32"/>
          <w:highlight w:val="none"/>
        </w:rPr>
      </w:pPr>
      <w:r>
        <w:rPr>
          <w:rFonts w:hint="eastAsia" w:ascii="仿宋_GB2312" w:hAnsi="黑体" w:eastAsia="仿宋_GB2312"/>
          <w:b/>
          <w:bCs/>
          <w:sz w:val="32"/>
          <w:szCs w:val="32"/>
          <w:highlight w:val="none"/>
        </w:rPr>
        <w:t>填表说明</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1.本参照表样是严格按照财政部和省财政厅部门预算公开的要求设计的，已经删减了一些比较复杂的内容，能简化的已经尽可能简化，各部门必须严格按本表样公开。</w:t>
      </w:r>
    </w:p>
    <w:p>
      <w:pPr>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使用部门预算公开参照表样，说明中填列的当年预算数，必须与公开表格数据一致，使用上年预算数计算增减额和增减百分比，必须准确无误，使用上年预算数必须与上年公开数据一致，避免因数据不一致带来不必要的问题。</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3.参照表样中标红的内容以及本页内容，是对部门在编写公开说明时的一些提示，说明完成后，标红内容全部删除。</w:t>
      </w:r>
    </w:p>
    <w:p>
      <w:pPr>
        <w:ind w:firstLine="640"/>
        <w:rPr>
          <w:rFonts w:ascii="仿宋_GB2312" w:hAnsi="黑体" w:eastAsia="仿宋_GB2312"/>
          <w:sz w:val="32"/>
          <w:szCs w:val="32"/>
          <w:highlight w:val="none"/>
        </w:rPr>
      </w:pPr>
      <w:r>
        <w:rPr>
          <w:rFonts w:hint="eastAsia" w:ascii="仿宋_GB2312" w:hAnsi="黑体" w:eastAsia="仿宋_GB2312"/>
          <w:sz w:val="32"/>
          <w:szCs w:val="32"/>
          <w:highlight w:val="none"/>
        </w:rPr>
        <w:t>4.各业务股室在审核各部门上报的部门预算公开资料中，必须注意：预算公开表格是否齐全（空表也必须公开并说明无此项支出）、数据是否准确，表格中是否有**等容易引起歧义的字符（去年省财政厅检查组对此已提出异议）；公开说明是否规范齐全，是否按类款项详细说明，是否存在省略号、不必要的括号、提示的红字等未删除的东西。</w:t>
      </w: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A608F5"/>
    <w:multiLevelType w:val="multilevel"/>
    <w:tmpl w:val="51A608F5"/>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jlhMTI3YWMxZmRkNzEyYzI1ZmE3NWZjZTVjNzAifQ=="/>
  </w:docVars>
  <w:rsids>
    <w:rsidRoot w:val="005B7BC1"/>
    <w:rsid w:val="0003745A"/>
    <w:rsid w:val="00040BCD"/>
    <w:rsid w:val="000635F4"/>
    <w:rsid w:val="0007134C"/>
    <w:rsid w:val="0008140C"/>
    <w:rsid w:val="000D6DF6"/>
    <w:rsid w:val="00177759"/>
    <w:rsid w:val="001B1C65"/>
    <w:rsid w:val="001C1A02"/>
    <w:rsid w:val="001E4A08"/>
    <w:rsid w:val="00214A31"/>
    <w:rsid w:val="00242CF2"/>
    <w:rsid w:val="002E18D8"/>
    <w:rsid w:val="002F60F3"/>
    <w:rsid w:val="00311351"/>
    <w:rsid w:val="0032725E"/>
    <w:rsid w:val="00394CB3"/>
    <w:rsid w:val="003C6C02"/>
    <w:rsid w:val="003F4675"/>
    <w:rsid w:val="004065F3"/>
    <w:rsid w:val="00426E7F"/>
    <w:rsid w:val="004D7269"/>
    <w:rsid w:val="0054600D"/>
    <w:rsid w:val="0055484E"/>
    <w:rsid w:val="005A73EE"/>
    <w:rsid w:val="005B7BC1"/>
    <w:rsid w:val="005D203F"/>
    <w:rsid w:val="005E54B6"/>
    <w:rsid w:val="005F2AE1"/>
    <w:rsid w:val="005F5BDC"/>
    <w:rsid w:val="00646AEB"/>
    <w:rsid w:val="00666618"/>
    <w:rsid w:val="006735BA"/>
    <w:rsid w:val="006956AB"/>
    <w:rsid w:val="006A6616"/>
    <w:rsid w:val="006D45CE"/>
    <w:rsid w:val="006E0D73"/>
    <w:rsid w:val="00721BBD"/>
    <w:rsid w:val="007926A3"/>
    <w:rsid w:val="007A4BFC"/>
    <w:rsid w:val="007D20F6"/>
    <w:rsid w:val="00805E3C"/>
    <w:rsid w:val="0081299C"/>
    <w:rsid w:val="0086585A"/>
    <w:rsid w:val="008A308B"/>
    <w:rsid w:val="009A1F81"/>
    <w:rsid w:val="009F1F5C"/>
    <w:rsid w:val="00A039E4"/>
    <w:rsid w:val="00A55333"/>
    <w:rsid w:val="00AE2AA5"/>
    <w:rsid w:val="00B37D63"/>
    <w:rsid w:val="00B67550"/>
    <w:rsid w:val="00B7120D"/>
    <w:rsid w:val="00B97330"/>
    <w:rsid w:val="00BD2423"/>
    <w:rsid w:val="00C469FC"/>
    <w:rsid w:val="00CA41AB"/>
    <w:rsid w:val="00CB5559"/>
    <w:rsid w:val="00CC2B7C"/>
    <w:rsid w:val="00CF06A6"/>
    <w:rsid w:val="00DE66F0"/>
    <w:rsid w:val="00E0384C"/>
    <w:rsid w:val="00E075CD"/>
    <w:rsid w:val="00E265F4"/>
    <w:rsid w:val="00E46B0B"/>
    <w:rsid w:val="00E760B0"/>
    <w:rsid w:val="00E920D8"/>
    <w:rsid w:val="00E94B79"/>
    <w:rsid w:val="00EA085C"/>
    <w:rsid w:val="00F00669"/>
    <w:rsid w:val="00F3279B"/>
    <w:rsid w:val="00F42002"/>
    <w:rsid w:val="00F67610"/>
    <w:rsid w:val="00F9776C"/>
    <w:rsid w:val="047D2F82"/>
    <w:rsid w:val="060021DC"/>
    <w:rsid w:val="064D410C"/>
    <w:rsid w:val="06746E88"/>
    <w:rsid w:val="06BE6228"/>
    <w:rsid w:val="07EA6CFD"/>
    <w:rsid w:val="0A116753"/>
    <w:rsid w:val="0B896034"/>
    <w:rsid w:val="0D824E94"/>
    <w:rsid w:val="0E3A704E"/>
    <w:rsid w:val="0E6F37D9"/>
    <w:rsid w:val="112936A0"/>
    <w:rsid w:val="1250416D"/>
    <w:rsid w:val="13B82E0D"/>
    <w:rsid w:val="141D039C"/>
    <w:rsid w:val="17432B85"/>
    <w:rsid w:val="18766C4E"/>
    <w:rsid w:val="1909264A"/>
    <w:rsid w:val="198119BE"/>
    <w:rsid w:val="1B78482C"/>
    <w:rsid w:val="1C6D1D31"/>
    <w:rsid w:val="1D654F62"/>
    <w:rsid w:val="204B1966"/>
    <w:rsid w:val="205A7194"/>
    <w:rsid w:val="210F4887"/>
    <w:rsid w:val="22273516"/>
    <w:rsid w:val="2233056C"/>
    <w:rsid w:val="23513756"/>
    <w:rsid w:val="250F1490"/>
    <w:rsid w:val="292A0545"/>
    <w:rsid w:val="2B26350E"/>
    <w:rsid w:val="2B5C1C56"/>
    <w:rsid w:val="2BCF3D4E"/>
    <w:rsid w:val="2D550DF7"/>
    <w:rsid w:val="2DBA0562"/>
    <w:rsid w:val="31352995"/>
    <w:rsid w:val="32A96D1A"/>
    <w:rsid w:val="34032DB0"/>
    <w:rsid w:val="34B82D6F"/>
    <w:rsid w:val="373703E1"/>
    <w:rsid w:val="37580FE7"/>
    <w:rsid w:val="396616D2"/>
    <w:rsid w:val="39A71DAE"/>
    <w:rsid w:val="3D8C4411"/>
    <w:rsid w:val="404557B5"/>
    <w:rsid w:val="40465DD0"/>
    <w:rsid w:val="40CC1D5D"/>
    <w:rsid w:val="416268DB"/>
    <w:rsid w:val="452F6292"/>
    <w:rsid w:val="47AF499B"/>
    <w:rsid w:val="484D612A"/>
    <w:rsid w:val="48A9072C"/>
    <w:rsid w:val="4D903B41"/>
    <w:rsid w:val="4DA8126D"/>
    <w:rsid w:val="4DD72226"/>
    <w:rsid w:val="4EA300AE"/>
    <w:rsid w:val="4F182165"/>
    <w:rsid w:val="50622DD8"/>
    <w:rsid w:val="51163823"/>
    <w:rsid w:val="51C77E42"/>
    <w:rsid w:val="54B1376D"/>
    <w:rsid w:val="56311F34"/>
    <w:rsid w:val="564548F7"/>
    <w:rsid w:val="565305B1"/>
    <w:rsid w:val="56C73340"/>
    <w:rsid w:val="59441D15"/>
    <w:rsid w:val="5A3206F2"/>
    <w:rsid w:val="61EF1B1B"/>
    <w:rsid w:val="621A3658"/>
    <w:rsid w:val="62B62979"/>
    <w:rsid w:val="64252B6E"/>
    <w:rsid w:val="651520BC"/>
    <w:rsid w:val="661A6258"/>
    <w:rsid w:val="6A136FDE"/>
    <w:rsid w:val="6A752B54"/>
    <w:rsid w:val="6EA6456E"/>
    <w:rsid w:val="74517818"/>
    <w:rsid w:val="75840CDB"/>
    <w:rsid w:val="75FA50B5"/>
    <w:rsid w:val="77781E83"/>
    <w:rsid w:val="78062181"/>
    <w:rsid w:val="794965D5"/>
    <w:rsid w:val="79D61FC6"/>
    <w:rsid w:val="7CF82ADB"/>
    <w:rsid w:val="7F2E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Hyperlink"/>
    <w:qFormat/>
    <w:uiPriority w:val="0"/>
    <w:rPr>
      <w:color w:val="0000FF"/>
      <w:u w:val="single"/>
    </w:rPr>
  </w:style>
  <w:style w:type="character" w:styleId="10">
    <w:name w:val="HTML Sample"/>
    <w:basedOn w:val="8"/>
    <w:qFormat/>
    <w:uiPriority w:val="99"/>
    <w:rPr>
      <w:rFonts w:ascii="Courier New" w:hAnsi="Courier New" w:cs="Courier New"/>
    </w:rPr>
  </w:style>
  <w:style w:type="character" w:customStyle="1" w:styleId="11">
    <w:name w:val="页眉 Char"/>
    <w:link w:val="4"/>
    <w:qFormat/>
    <w:uiPriority w:val="0"/>
    <w:rPr>
      <w:kern w:val="2"/>
      <w:sz w:val="18"/>
      <w:szCs w:val="18"/>
    </w:rPr>
  </w:style>
  <w:style w:type="character" w:customStyle="1" w:styleId="12">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2463</Words>
  <Characters>2694</Characters>
  <Lines>16</Lines>
  <Paragraphs>4</Paragraphs>
  <TotalTime>2</TotalTime>
  <ScaleCrop>false</ScaleCrop>
  <LinksUpToDate>false</LinksUpToDate>
  <CharactersWithSpaces>2751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2017-03-15T03:43:00Z</dcterms:created>
  <dc:creator>Windows 用户</dc:creator>
  <cp:lastModifiedBy>Administrator</cp:lastModifiedBy>
  <cp:lastPrinted>2022-04-13T10:13:00Z</cp:lastPrinted>
  <dcterms:modified xsi:type="dcterms:W3CDTF">2023-06-07T10:00:37Z</dcterms:modified>
  <dc:title>临夏回族自治州**局部门预算（此处请用单位全称，居中）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2C2B1E33EB5A43F09A17393C6590B243</vt:lpwstr>
  </property>
</Properties>
</file>