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highlight w:val="none"/>
        </w:rPr>
      </w:pPr>
    </w:p>
    <w:p>
      <w:pPr>
        <w:jc w:val="center"/>
        <w:rPr>
          <w:rFonts w:ascii="方正小标宋简体" w:eastAsia="方正小标宋简体"/>
          <w:sz w:val="52"/>
          <w:szCs w:val="52"/>
          <w:highlight w:val="none"/>
        </w:rPr>
      </w:pPr>
    </w:p>
    <w:p>
      <w:pPr>
        <w:jc w:val="center"/>
        <w:rPr>
          <w:rFonts w:ascii="楷体" w:hAnsi="楷体" w:eastAsia="楷体"/>
          <w:sz w:val="30"/>
          <w:szCs w:val="30"/>
          <w:highlight w:val="none"/>
        </w:rPr>
      </w:pPr>
      <w:r>
        <w:rPr>
          <w:rFonts w:hint="eastAsia" w:ascii="方正小标宋简体" w:eastAsia="方正小标宋简体"/>
          <w:sz w:val="72"/>
          <w:szCs w:val="72"/>
          <w:highlight w:val="none"/>
          <w:lang w:val="en-US" w:eastAsia="zh-CN"/>
        </w:rPr>
        <w:t>东乡族自治县第六中学</w:t>
      </w:r>
      <w:r>
        <w:rPr>
          <w:rFonts w:hint="eastAsia" w:ascii="方正小标宋简体" w:eastAsia="方正小标宋简体"/>
          <w:sz w:val="72"/>
          <w:szCs w:val="72"/>
          <w:highlight w:val="none"/>
        </w:rPr>
        <w:t>（单位名称）</w:t>
      </w:r>
      <w:r>
        <w:rPr>
          <w:rFonts w:hint="eastAsia" w:ascii="方正小标宋简体" w:eastAsia="方正小标宋简体"/>
          <w:sz w:val="72"/>
          <w:szCs w:val="72"/>
          <w:highlight w:val="none"/>
        </w:rPr>
        <w:t>部门预算</w:t>
      </w:r>
    </w:p>
    <w:p>
      <w:pPr>
        <w:jc w:val="center"/>
        <w:rPr>
          <w:rFonts w:ascii="方正小标宋简体" w:eastAsia="方正小标宋简体"/>
          <w:sz w:val="48"/>
          <w:szCs w:val="48"/>
          <w:highlight w:val="none"/>
        </w:rPr>
      </w:pPr>
      <w:r>
        <w:rPr>
          <w:rFonts w:hint="eastAsia" w:ascii="方正小标宋简体" w:eastAsia="方正小标宋简体"/>
          <w:sz w:val="48"/>
          <w:szCs w:val="48"/>
          <w:highlight w:val="none"/>
        </w:rPr>
        <w:t>（2022年度）</w:t>
      </w:r>
    </w:p>
    <w:p>
      <w:pPr>
        <w:tabs>
          <w:tab w:val="left" w:pos="12150"/>
        </w:tabs>
        <w:jc w:val="left"/>
        <w:rPr>
          <w:rFonts w:ascii="方正小标宋简体" w:eastAsia="方正小标宋简体"/>
          <w:sz w:val="48"/>
          <w:szCs w:val="48"/>
          <w:highlight w:val="none"/>
        </w:rPr>
      </w:pPr>
      <w:r>
        <w:rPr>
          <w:rFonts w:ascii="方正小标宋简体" w:eastAsia="方正小标宋简体"/>
          <w:sz w:val="48"/>
          <w:szCs w:val="48"/>
          <w:highlight w:val="none"/>
        </w:rPr>
        <w:tab/>
      </w:r>
    </w:p>
    <w:p>
      <w:pPr>
        <w:jc w:val="center"/>
        <w:rPr>
          <w:rFonts w:ascii="方正小标宋简体" w:eastAsia="方正小标宋简体"/>
          <w:sz w:val="48"/>
          <w:szCs w:val="48"/>
          <w:highlight w:val="none"/>
        </w:rPr>
      </w:pPr>
    </w:p>
    <w:p>
      <w:pPr>
        <w:jc w:val="center"/>
        <w:rPr>
          <w:rFonts w:ascii="方正小标宋简体" w:eastAsia="方正小标宋简体"/>
          <w:sz w:val="48"/>
          <w:szCs w:val="48"/>
          <w:highlight w:val="none"/>
        </w:rPr>
      </w:pPr>
      <w:r>
        <w:rPr>
          <w:rFonts w:hint="eastAsia" w:ascii="方正小标宋简体" w:eastAsia="方正小标宋简体"/>
          <w:sz w:val="48"/>
          <w:szCs w:val="48"/>
          <w:highlight w:val="none"/>
        </w:rPr>
        <w:t>2022年5月</w:t>
      </w:r>
    </w:p>
    <w:p>
      <w:pPr>
        <w:jc w:val="center"/>
        <w:rPr>
          <w:rFonts w:ascii="黑体" w:hAnsi="黑体" w:eastAsia="黑体"/>
          <w:sz w:val="48"/>
          <w:szCs w:val="48"/>
          <w:highlight w:val="none"/>
        </w:rPr>
      </w:pPr>
      <w:r>
        <w:rPr>
          <w:rFonts w:hint="eastAsia" w:ascii="黑体" w:hAnsi="黑体" w:eastAsia="黑体"/>
          <w:sz w:val="48"/>
          <w:szCs w:val="48"/>
          <w:highlight w:val="none"/>
        </w:rPr>
        <w:t>目    录</w:t>
      </w:r>
    </w:p>
    <w:p>
      <w:pPr>
        <w:rPr>
          <w:rFonts w:ascii="仿宋_GB2312" w:hAnsi="黑体" w:eastAsia="仿宋_GB2312"/>
          <w:sz w:val="32"/>
          <w:szCs w:val="32"/>
          <w:highlight w:val="none"/>
        </w:rPr>
      </w:pPr>
    </w:p>
    <w:p>
      <w:pPr>
        <w:rPr>
          <w:rFonts w:ascii="仿宋_GB2312" w:hAnsi="黑体" w:eastAsia="仿宋_GB2312"/>
          <w:sz w:val="32"/>
          <w:szCs w:val="32"/>
          <w:highlight w:val="none"/>
        </w:rPr>
      </w:pPr>
    </w:p>
    <w:p>
      <w:pPr>
        <w:rPr>
          <w:rFonts w:ascii="仿宋_GB2312" w:hAnsi="黑体" w:eastAsia="仿宋_GB2312"/>
          <w:sz w:val="32"/>
          <w:szCs w:val="32"/>
          <w:highlight w:val="none"/>
        </w:rPr>
      </w:pP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第一部分  部门概况</w:t>
      </w:r>
    </w:p>
    <w:p>
      <w:pPr>
        <w:spacing w:line="640" w:lineRule="exact"/>
        <w:ind w:firstLine="1564" w:firstLineChars="489"/>
        <w:rPr>
          <w:rFonts w:ascii="仿宋_GB2312" w:hAnsi="黑体" w:eastAsia="仿宋_GB2312"/>
          <w:sz w:val="32"/>
          <w:szCs w:val="32"/>
          <w:highlight w:val="none"/>
        </w:rPr>
      </w:pPr>
      <w:r>
        <w:rPr>
          <w:rFonts w:hint="eastAsia" w:ascii="仿宋_GB2312" w:hAnsi="黑体" w:eastAsia="仿宋_GB2312"/>
          <w:sz w:val="32"/>
          <w:szCs w:val="32"/>
          <w:highlight w:val="none"/>
        </w:rPr>
        <w:t>一、部门职责</w:t>
      </w:r>
    </w:p>
    <w:p>
      <w:pPr>
        <w:spacing w:line="640" w:lineRule="exact"/>
        <w:ind w:firstLine="1590" w:firstLineChars="497"/>
        <w:rPr>
          <w:rFonts w:ascii="仿宋_GB2312" w:hAnsi="黑体" w:eastAsia="仿宋_GB2312"/>
          <w:sz w:val="32"/>
          <w:szCs w:val="32"/>
          <w:highlight w:val="none"/>
        </w:rPr>
      </w:pPr>
      <w:r>
        <w:rPr>
          <w:rFonts w:hint="eastAsia" w:ascii="仿宋_GB2312" w:hAnsi="黑体" w:eastAsia="仿宋_GB2312"/>
          <w:sz w:val="32"/>
          <w:szCs w:val="32"/>
          <w:highlight w:val="none"/>
        </w:rPr>
        <w:t>二、机构设置</w:t>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第二部分  2022年部门预算表格</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一、2022年部门收支总表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二、2022年部门收入总表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三、2022年部门支出总表</w:t>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四、2022年部门财政拨款收支总表</w:t>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五、2022年部门一般公共预算支出表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六、2022年部门政府性基金预算支出表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七、2022年部门预算经济分类和对应的政府预算经济分类基本支出预算明细表</w:t>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九、2022年部门政府采购预算表</w:t>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十、2022年部门“三公”经费预算财政拨款情况表</w:t>
      </w:r>
      <w:r>
        <w:rPr>
          <w:rFonts w:hint="eastAsia" w:ascii="仿宋_GB2312" w:hAnsi="黑体" w:eastAsia="仿宋_GB2312"/>
          <w:sz w:val="32"/>
          <w:szCs w:val="32"/>
          <w:highlight w:val="none"/>
        </w:rPr>
        <w:tab/>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第三部分  部门预算情况说明</w:t>
      </w:r>
    </w:p>
    <w:p>
      <w:pPr>
        <w:spacing w:line="640" w:lineRule="exact"/>
        <w:ind w:firstLine="1285" w:firstLineChars="400"/>
        <w:rPr>
          <w:rFonts w:ascii="仿宋_GB2312" w:hAnsi="黑体" w:eastAsia="仿宋_GB2312"/>
          <w:sz w:val="32"/>
          <w:szCs w:val="32"/>
          <w:highlight w:val="none"/>
        </w:rPr>
      </w:pPr>
      <w:r>
        <w:rPr>
          <w:rFonts w:hint="eastAsia" w:ascii="仿宋_GB2312" w:hAnsi="黑体" w:eastAsia="仿宋_GB2312"/>
          <w:b/>
          <w:sz w:val="32"/>
          <w:szCs w:val="32"/>
          <w:highlight w:val="none"/>
        </w:rPr>
        <w:t xml:space="preserve">  </w:t>
      </w:r>
      <w:r>
        <w:rPr>
          <w:rFonts w:hint="eastAsia" w:ascii="仿宋_GB2312" w:hAnsi="黑体" w:eastAsia="仿宋_GB2312"/>
          <w:sz w:val="32"/>
          <w:szCs w:val="32"/>
          <w:highlight w:val="none"/>
        </w:rPr>
        <w:t>一、部门预算总体说明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二、部门一般公共预算支出情况说明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三、部门一般公共预算基本支出情况说明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四、部门“三公”经费情况说明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五、部门机关运行经费及政府采购预算情况说明</w:t>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第四部分  名词解释</w:t>
      </w: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52"/>
          <w:szCs w:val="52"/>
          <w:highlight w:val="none"/>
        </w:rPr>
      </w:pPr>
      <w:r>
        <w:rPr>
          <w:rFonts w:hint="eastAsia" w:ascii="仿宋_GB2312" w:hAnsi="黑体" w:eastAsia="仿宋_GB2312"/>
          <w:b/>
          <w:sz w:val="52"/>
          <w:szCs w:val="52"/>
          <w:highlight w:val="none"/>
        </w:rPr>
        <w:t>第一部分  部门概况</w:t>
      </w:r>
    </w:p>
    <w:p>
      <w:pPr>
        <w:spacing w:line="640" w:lineRule="exact"/>
        <w:rPr>
          <w:rFonts w:ascii="黑体" w:hAnsi="黑体" w:eastAsia="黑体"/>
          <w:sz w:val="32"/>
          <w:szCs w:val="32"/>
          <w:highlight w:val="none"/>
        </w:rPr>
      </w:pPr>
      <w:r>
        <w:rPr>
          <w:rFonts w:hint="eastAsia" w:ascii="仿宋_GB2312" w:hAnsi="黑体" w:eastAsia="仿宋_GB2312"/>
          <w:sz w:val="32"/>
          <w:szCs w:val="32"/>
          <w:highlight w:val="none"/>
        </w:rPr>
        <w:t xml:space="preserve">  </w:t>
      </w:r>
    </w:p>
    <w:p>
      <w:pPr>
        <w:numPr>
          <w:ilvl w:val="0"/>
          <w:numId w:val="1"/>
        </w:numPr>
        <w:spacing w:line="640" w:lineRule="exact"/>
        <w:rPr>
          <w:rFonts w:ascii="黑体" w:hAnsi="黑体" w:eastAsia="黑体"/>
          <w:sz w:val="32"/>
          <w:szCs w:val="32"/>
          <w:highlight w:val="none"/>
        </w:rPr>
      </w:pPr>
      <w:r>
        <w:rPr>
          <w:rFonts w:hint="eastAsia" w:ascii="黑体" w:hAnsi="黑体" w:eastAsia="黑体"/>
          <w:sz w:val="32"/>
          <w:szCs w:val="32"/>
          <w:highlight w:val="none"/>
        </w:rPr>
        <w:t>部门职责</w:t>
      </w:r>
    </w:p>
    <w:p>
      <w:pPr>
        <w:spacing w:line="640" w:lineRule="exact"/>
        <w:ind w:firstLine="645"/>
        <w:rPr>
          <w:rFonts w:hint="eastAsia"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（一）制定符合党的教育方针和国家教育法律法规的中学教育发展规划并抓好组织实施和落实工作。</w:t>
      </w:r>
    </w:p>
    <w:p>
      <w:pPr>
        <w:spacing w:line="640" w:lineRule="exact"/>
        <w:ind w:firstLine="645"/>
        <w:rPr>
          <w:rFonts w:hint="eastAsia"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（二）贯彻、执行教育法律法规和政策规定，坚持依法治教、依法治学。巩固提高“两基”工作成果和整体水平，配合教育局依法动员、组织适龄少年儿童入学，严格控制辍学，推进普及九年义务教育。</w:t>
      </w:r>
    </w:p>
    <w:p>
      <w:pPr>
        <w:spacing w:line="640" w:lineRule="exact"/>
        <w:ind w:firstLine="645"/>
        <w:rPr>
          <w:rFonts w:hint="eastAsia"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（三）指导、管理、检查、评价学校的教育教学工作，提高办学质量和办学效益。</w:t>
      </w:r>
    </w:p>
    <w:p>
      <w:pPr>
        <w:spacing w:line="640" w:lineRule="exact"/>
        <w:ind w:firstLine="645"/>
        <w:rPr>
          <w:rFonts w:hint="eastAsia"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（四）负责教育教学管理及教研教工作，全力推进素质教育实施。</w:t>
      </w:r>
    </w:p>
    <w:p>
      <w:pPr>
        <w:spacing w:line="640" w:lineRule="exact"/>
        <w:ind w:firstLine="645"/>
        <w:rPr>
          <w:rFonts w:hint="eastAsia"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（五）协助上级教育主管部门做</w:t>
      </w:r>
      <w:r>
        <w:rPr>
          <w:rFonts w:hint="eastAsia" w:ascii="仿宋_GB2312" w:hAnsi="宋体" w:eastAsia="仿宋_GB2312" w:cs="宋体"/>
          <w:kern w:val="0"/>
          <w:sz w:val="28"/>
          <w:szCs w:val="28"/>
          <w:highlight w:val="none"/>
          <w:lang w:eastAsia="zh-CN"/>
        </w:rPr>
        <w:t>好学</w:t>
      </w:r>
      <w:r>
        <w:rPr>
          <w:rFonts w:hint="eastAsia" w:ascii="仿宋_GB2312" w:hAnsi="宋体" w:eastAsia="仿宋_GB2312" w:cs="宋体"/>
          <w:kern w:val="0"/>
          <w:sz w:val="28"/>
          <w:szCs w:val="28"/>
          <w:highlight w:val="none"/>
        </w:rPr>
        <w:t>校教师考核工作，负责教师管理、继续教育、考核考评等工作。</w:t>
      </w:r>
    </w:p>
    <w:p>
      <w:pPr>
        <w:spacing w:line="640" w:lineRule="exact"/>
        <w:ind w:firstLine="645"/>
        <w:rPr>
          <w:rFonts w:hint="eastAsia"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（六）负责财务管理，</w:t>
      </w:r>
      <w:r>
        <w:rPr>
          <w:rFonts w:hint="eastAsia" w:ascii="仿宋_GB2312" w:hAnsi="宋体" w:eastAsia="仿宋_GB2312" w:cs="宋体"/>
          <w:kern w:val="0"/>
          <w:sz w:val="28"/>
          <w:szCs w:val="28"/>
          <w:highlight w:val="none"/>
          <w:lang w:eastAsia="zh-CN"/>
        </w:rPr>
        <w:t>筹措</w:t>
      </w:r>
      <w:r>
        <w:rPr>
          <w:rFonts w:hint="eastAsia" w:ascii="仿宋_GB2312" w:hAnsi="宋体" w:eastAsia="仿宋_GB2312" w:cs="宋体"/>
          <w:kern w:val="0"/>
          <w:sz w:val="28"/>
          <w:szCs w:val="28"/>
          <w:highlight w:val="none"/>
        </w:rPr>
        <w:t>资金。</w:t>
      </w:r>
      <w:r>
        <w:rPr>
          <w:rFonts w:hint="eastAsia" w:ascii="仿宋_GB2312" w:hAnsi="宋体" w:eastAsia="仿宋_GB2312" w:cs="宋体"/>
          <w:kern w:val="0"/>
          <w:sz w:val="28"/>
          <w:szCs w:val="28"/>
          <w:highlight w:val="none"/>
          <w:lang w:eastAsia="zh-CN"/>
        </w:rPr>
        <w:t>改善</w:t>
      </w:r>
      <w:r>
        <w:rPr>
          <w:rFonts w:hint="eastAsia" w:ascii="仿宋_GB2312" w:hAnsi="宋体" w:eastAsia="仿宋_GB2312" w:cs="宋体"/>
          <w:kern w:val="0"/>
          <w:sz w:val="28"/>
          <w:szCs w:val="28"/>
          <w:highlight w:val="none"/>
        </w:rPr>
        <w:t>办学</w:t>
      </w:r>
      <w:r>
        <w:rPr>
          <w:rFonts w:hint="eastAsia" w:ascii="仿宋_GB2312" w:hAnsi="宋体" w:eastAsia="仿宋_GB2312" w:cs="宋体"/>
          <w:kern w:val="0"/>
          <w:sz w:val="28"/>
          <w:szCs w:val="28"/>
          <w:highlight w:val="none"/>
          <w:lang w:eastAsia="zh-CN"/>
        </w:rPr>
        <w:t>条件</w:t>
      </w:r>
      <w:r>
        <w:rPr>
          <w:rFonts w:hint="eastAsia" w:ascii="仿宋_GB2312" w:hAnsi="宋体" w:eastAsia="仿宋_GB2312" w:cs="宋体"/>
          <w:kern w:val="0"/>
          <w:sz w:val="28"/>
          <w:szCs w:val="28"/>
          <w:highlight w:val="none"/>
        </w:rPr>
        <w:t>等工作。</w:t>
      </w:r>
    </w:p>
    <w:p>
      <w:pPr>
        <w:spacing w:line="640" w:lineRule="exact"/>
        <w:ind w:firstLine="645"/>
        <w:rPr>
          <w:rFonts w:ascii="仿宋_GB2312" w:hAnsi="宋体" w:eastAsia="仿宋_GB2312" w:cs="宋体"/>
          <w:kern w:val="0"/>
          <w:sz w:val="32"/>
          <w:szCs w:val="32"/>
          <w:highlight w:val="none"/>
        </w:rPr>
      </w:pPr>
      <w:r>
        <w:rPr>
          <w:rFonts w:hint="eastAsia" w:ascii="仿宋_GB2312" w:hAnsi="宋体" w:eastAsia="仿宋_GB2312" w:cs="宋体"/>
          <w:kern w:val="0"/>
          <w:sz w:val="28"/>
          <w:szCs w:val="28"/>
          <w:highlight w:val="none"/>
        </w:rPr>
        <w:t>（七）完成教育主管部门和上级</w:t>
      </w:r>
      <w:r>
        <w:rPr>
          <w:rFonts w:hint="eastAsia" w:ascii="仿宋_GB2312" w:hAnsi="宋体" w:eastAsia="仿宋_GB2312" w:cs="宋体"/>
          <w:kern w:val="0"/>
          <w:sz w:val="28"/>
          <w:szCs w:val="28"/>
          <w:highlight w:val="none"/>
          <w:lang w:eastAsia="zh-CN"/>
        </w:rPr>
        <w:t>政府</w:t>
      </w:r>
      <w:r>
        <w:rPr>
          <w:rFonts w:hint="eastAsia" w:ascii="仿宋_GB2312" w:hAnsi="宋体" w:eastAsia="仿宋_GB2312" w:cs="宋体"/>
          <w:kern w:val="0"/>
          <w:sz w:val="28"/>
          <w:szCs w:val="28"/>
          <w:highlight w:val="none"/>
        </w:rPr>
        <w:t>委托</w:t>
      </w:r>
      <w:r>
        <w:rPr>
          <w:rFonts w:hint="eastAsia" w:ascii="仿宋_GB2312" w:hAnsi="宋体" w:eastAsia="仿宋_GB2312" w:cs="宋体"/>
          <w:kern w:val="0"/>
          <w:sz w:val="28"/>
          <w:szCs w:val="28"/>
          <w:highlight w:val="none"/>
          <w:lang w:eastAsia="zh-CN"/>
        </w:rPr>
        <w:t>的各项</w:t>
      </w:r>
      <w:r>
        <w:rPr>
          <w:rFonts w:hint="eastAsia" w:ascii="仿宋_GB2312" w:hAnsi="宋体" w:eastAsia="仿宋_GB2312" w:cs="宋体"/>
          <w:kern w:val="0"/>
          <w:sz w:val="28"/>
          <w:szCs w:val="28"/>
          <w:highlight w:val="none"/>
        </w:rPr>
        <w:t>工作任务。</w:t>
      </w:r>
    </w:p>
    <w:p>
      <w:pPr>
        <w:spacing w:line="640" w:lineRule="exact"/>
        <w:ind w:firstLine="645"/>
        <w:rPr>
          <w:rFonts w:ascii="黑体" w:hAnsi="黑体" w:eastAsia="黑体"/>
          <w:sz w:val="32"/>
          <w:szCs w:val="32"/>
          <w:highlight w:val="none"/>
        </w:rPr>
      </w:pPr>
      <w:r>
        <w:rPr>
          <w:rFonts w:hint="eastAsia" w:ascii="黑体" w:hAnsi="黑体" w:eastAsia="黑体"/>
          <w:sz w:val="32"/>
          <w:szCs w:val="32"/>
          <w:highlight w:val="none"/>
        </w:rPr>
        <w:t>二、机构设置</w:t>
      </w:r>
    </w:p>
    <w:p>
      <w:pPr>
        <w:spacing w:line="840" w:lineRule="exact"/>
        <w:ind w:firstLine="560" w:firstLineChars="200"/>
        <w:rPr>
          <w:rFonts w:hint="eastAsia"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（一）办公室</w:t>
      </w:r>
    </w:p>
    <w:p>
      <w:pPr>
        <w:spacing w:line="840" w:lineRule="exact"/>
        <w:ind w:firstLine="560" w:firstLineChars="200"/>
        <w:rPr>
          <w:rFonts w:hint="eastAsia"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主要职责：负责文件、材料的拟定、收发、</w:t>
      </w:r>
      <w:r>
        <w:rPr>
          <w:rFonts w:hint="eastAsia" w:ascii="仿宋_GB2312" w:hAnsi="宋体" w:eastAsia="仿宋_GB2312" w:cs="宋体"/>
          <w:color w:val="auto"/>
          <w:kern w:val="0"/>
          <w:sz w:val="28"/>
          <w:szCs w:val="28"/>
          <w:highlight w:val="none"/>
          <w:lang w:eastAsia="zh-CN"/>
        </w:rPr>
        <w:t>呈阅、催办和保管</w:t>
      </w:r>
      <w:r>
        <w:rPr>
          <w:rFonts w:hint="eastAsia" w:ascii="仿宋_GB2312" w:hAnsi="宋体" w:eastAsia="仿宋_GB2312" w:cs="宋体"/>
          <w:color w:val="auto"/>
          <w:kern w:val="0"/>
          <w:sz w:val="28"/>
          <w:szCs w:val="28"/>
          <w:highlight w:val="none"/>
        </w:rPr>
        <w:t>及学校印章的使用和保管；负责会议的通知、</w:t>
      </w:r>
      <w:r>
        <w:rPr>
          <w:rFonts w:hint="eastAsia" w:ascii="仿宋_GB2312" w:hAnsi="宋体" w:eastAsia="仿宋_GB2312" w:cs="宋体"/>
          <w:color w:val="auto"/>
          <w:kern w:val="0"/>
          <w:sz w:val="28"/>
          <w:szCs w:val="28"/>
          <w:highlight w:val="none"/>
          <w:lang w:eastAsia="zh-CN"/>
        </w:rPr>
        <w:t>记录及教</w:t>
      </w:r>
      <w:r>
        <w:rPr>
          <w:rFonts w:hint="eastAsia" w:ascii="仿宋_GB2312" w:hAnsi="宋体" w:eastAsia="仿宋_GB2312" w:cs="宋体"/>
          <w:color w:val="auto"/>
          <w:kern w:val="0"/>
          <w:sz w:val="28"/>
          <w:szCs w:val="28"/>
          <w:highlight w:val="none"/>
        </w:rPr>
        <w:t>职</w:t>
      </w:r>
      <w:r>
        <w:rPr>
          <w:rFonts w:hint="eastAsia" w:ascii="仿宋_GB2312" w:hAnsi="宋体" w:eastAsia="仿宋_GB2312" w:cs="宋体"/>
          <w:color w:val="auto"/>
          <w:kern w:val="0"/>
          <w:sz w:val="28"/>
          <w:szCs w:val="28"/>
          <w:highlight w:val="none"/>
          <w:lang w:eastAsia="zh-CN"/>
        </w:rPr>
        <w:t>工考</w:t>
      </w:r>
      <w:r>
        <w:rPr>
          <w:rFonts w:hint="eastAsia" w:ascii="仿宋_GB2312" w:hAnsi="宋体" w:eastAsia="仿宋_GB2312" w:cs="宋体"/>
          <w:color w:val="auto"/>
          <w:kern w:val="0"/>
          <w:sz w:val="28"/>
          <w:szCs w:val="28"/>
          <w:highlight w:val="none"/>
        </w:rPr>
        <w:t>勤</w:t>
      </w:r>
    </w:p>
    <w:p>
      <w:pPr>
        <w:spacing w:line="840" w:lineRule="exact"/>
        <w:ind w:firstLine="560" w:firstLineChars="200"/>
        <w:rPr>
          <w:rFonts w:hint="eastAsia"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工作；协调联络各校长、各处室、各年级组、教研组工作；负责教职工量化考核和年度考核工作。</w:t>
      </w:r>
    </w:p>
    <w:p>
      <w:pPr>
        <w:spacing w:line="840" w:lineRule="exact"/>
        <w:ind w:firstLine="560" w:firstLineChars="200"/>
        <w:rPr>
          <w:rFonts w:hint="eastAsia"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（二）教务处</w:t>
      </w:r>
    </w:p>
    <w:p>
      <w:pPr>
        <w:spacing w:line="840" w:lineRule="exact"/>
        <w:ind w:firstLine="560" w:firstLineChars="200"/>
        <w:rPr>
          <w:rFonts w:hint="eastAsia"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主要职责：制定学校教学工作计划、检查及总结，安排课程、制定校历，组织召开学生、家长座谈会；加强教学常规管理，会同教研室组织教学工作检查和教学质量评估并提出指导性意见和建议；负责招生工作；做好学籍管理工作，依据有关规定做好各种档案的搜集整理归档工作；督促制定完善年级组计划，并按期检查落实。</w:t>
      </w:r>
    </w:p>
    <w:p>
      <w:pPr>
        <w:spacing w:line="840" w:lineRule="exact"/>
        <w:ind w:firstLine="560" w:firstLineChars="200"/>
        <w:rPr>
          <w:rFonts w:hint="eastAsia"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（三）教研室</w:t>
      </w:r>
    </w:p>
    <w:p>
      <w:pPr>
        <w:spacing w:line="840" w:lineRule="exact"/>
        <w:ind w:firstLine="560" w:firstLineChars="200"/>
        <w:rPr>
          <w:rFonts w:hint="eastAsia"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主要职责：负责学校教研工作计划的研讨、制定和修订工作;定期组织任课教师分析教学情况，研究改进措施，以不断提高教学水平和教学质量；加强对教师的业务指导，经常深入课堂，掌握教学进程和教师授课情况，听取学生对教学的反映和意见；统筹安排各教研组教研活动计划，组织教师进行互听、互评课活动。积极开展校际交流、教学教研活动；负责编班工作，组织好各类考试。</w:t>
      </w:r>
    </w:p>
    <w:p>
      <w:pPr>
        <w:spacing w:line="840" w:lineRule="exact"/>
        <w:ind w:firstLine="560" w:firstLineChars="200"/>
        <w:rPr>
          <w:rFonts w:hint="eastAsia"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（四）政教处</w:t>
      </w:r>
    </w:p>
    <w:p>
      <w:pPr>
        <w:spacing w:line="840" w:lineRule="exact"/>
        <w:ind w:firstLine="560" w:firstLineChars="200"/>
        <w:rPr>
          <w:rFonts w:hint="eastAsia"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主要职责：协助学校党支部具体工作的落实，组织教职工政治学习，制定相应的学习制度，做好相关记录；帮助班主任搞好学生思想教育和管理工作；负责学生的纪律管理，对学生违纪事件的处理，并做好因违纪给予处分学生的登记建档工作：负责贫困生救助方面的各项工作；负责优秀学生干部、</w:t>
      </w:r>
      <w:r>
        <w:rPr>
          <w:rFonts w:hint="eastAsia" w:ascii="仿宋_GB2312" w:hAnsi="宋体" w:eastAsia="仿宋_GB2312" w:cs="宋体"/>
          <w:color w:val="auto"/>
          <w:kern w:val="0"/>
          <w:sz w:val="28"/>
          <w:szCs w:val="28"/>
          <w:highlight w:val="none"/>
          <w:lang w:eastAsia="zh-CN"/>
        </w:rPr>
        <w:t>三好学生及先进</w:t>
      </w:r>
      <w:r>
        <w:rPr>
          <w:rFonts w:hint="eastAsia" w:ascii="仿宋_GB2312" w:hAnsi="宋体" w:eastAsia="仿宋_GB2312" w:cs="宋体"/>
          <w:color w:val="auto"/>
          <w:kern w:val="0"/>
          <w:sz w:val="28"/>
          <w:szCs w:val="28"/>
          <w:highlight w:val="none"/>
        </w:rPr>
        <w:t>班集体的评定工作。</w:t>
      </w:r>
    </w:p>
    <w:p>
      <w:pPr>
        <w:spacing w:line="840" w:lineRule="exact"/>
        <w:ind w:firstLine="560" w:firstLineChars="200"/>
        <w:rPr>
          <w:rFonts w:hint="eastAsia"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（五）纪检室</w:t>
      </w:r>
    </w:p>
    <w:p>
      <w:pPr>
        <w:spacing w:line="840" w:lineRule="exact"/>
        <w:ind w:firstLine="560" w:firstLineChars="200"/>
        <w:rPr>
          <w:rFonts w:hint="eastAsia" w:ascii="仿宋_GB2312" w:hAnsi="宋体" w:eastAsia="仿宋_GB2312" w:cs="宋体"/>
          <w:color w:val="auto"/>
          <w:kern w:val="0"/>
          <w:sz w:val="28"/>
          <w:szCs w:val="28"/>
          <w:highlight w:val="none"/>
          <w:lang w:eastAsia="zh-CN"/>
        </w:rPr>
      </w:pPr>
      <w:r>
        <w:rPr>
          <w:rFonts w:hint="eastAsia" w:ascii="仿宋_GB2312" w:hAnsi="宋体" w:eastAsia="仿宋_GB2312" w:cs="宋体"/>
          <w:color w:val="auto"/>
          <w:kern w:val="0"/>
          <w:sz w:val="28"/>
          <w:szCs w:val="28"/>
          <w:highlight w:val="none"/>
        </w:rPr>
        <w:t>负责学校党务、校务、财务公开和</w:t>
      </w:r>
      <w:r>
        <w:rPr>
          <w:rFonts w:hint="eastAsia" w:ascii="仿宋_GB2312" w:hAnsi="宋体" w:eastAsia="仿宋_GB2312" w:cs="宋体"/>
          <w:color w:val="auto"/>
          <w:kern w:val="0"/>
          <w:sz w:val="28"/>
          <w:szCs w:val="28"/>
          <w:highlight w:val="none"/>
          <w:lang w:eastAsia="zh-CN"/>
        </w:rPr>
        <w:t>相</w:t>
      </w:r>
      <w:r>
        <w:rPr>
          <w:rFonts w:hint="eastAsia" w:ascii="仿宋_GB2312" w:hAnsi="宋体" w:eastAsia="仿宋_GB2312" w:cs="宋体"/>
          <w:color w:val="auto"/>
          <w:kern w:val="0"/>
          <w:sz w:val="28"/>
          <w:szCs w:val="28"/>
          <w:highlight w:val="none"/>
        </w:rPr>
        <w:t>关决策制度执行情况的监督；对师生、家长反映的热点问题进行协调和反馈</w:t>
      </w:r>
      <w:r>
        <w:rPr>
          <w:rFonts w:hint="eastAsia" w:ascii="仿宋_GB2312" w:hAnsi="宋体" w:eastAsia="仿宋_GB2312" w:cs="宋体"/>
          <w:color w:val="auto"/>
          <w:kern w:val="0"/>
          <w:sz w:val="28"/>
          <w:szCs w:val="28"/>
          <w:highlight w:val="none"/>
          <w:lang w:eastAsia="zh-CN"/>
        </w:rPr>
        <w:t>。</w:t>
      </w:r>
    </w:p>
    <w:p>
      <w:pPr>
        <w:spacing w:line="840" w:lineRule="exact"/>
        <w:ind w:firstLine="560" w:firstLineChars="200"/>
        <w:rPr>
          <w:rFonts w:hint="eastAsia"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（六）团委</w:t>
      </w:r>
    </w:p>
    <w:p>
      <w:pPr>
        <w:spacing w:line="840" w:lineRule="exact"/>
        <w:ind w:firstLine="560" w:firstLineChars="200"/>
        <w:rPr>
          <w:rFonts w:hint="eastAsia"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主要职责：传达学习党组织和上级团组织的决议，负责学校团委日常工作；制定团委工作计划，健全基层组织，完善有关规章制度；了解和掌握团员的思想动态和学习情况、针对性的做好思想政治工作；组织开展各种竞赛和文体活动及其他社会实践活动;组织开播校园广播，负责组织升国旗仪式。</w:t>
      </w:r>
    </w:p>
    <w:p>
      <w:pPr>
        <w:spacing w:line="840" w:lineRule="exact"/>
        <w:ind w:firstLine="560" w:firstLineChars="200"/>
        <w:rPr>
          <w:rFonts w:hint="eastAsia"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（七）总务处</w:t>
      </w:r>
    </w:p>
    <w:p>
      <w:pPr>
        <w:spacing w:line="840" w:lineRule="exact"/>
        <w:ind w:firstLine="560" w:firstLineChars="200"/>
        <w:rPr>
          <w:rFonts w:hint="eastAsia"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主要职责：负责学校后勤工作；负责各类校产的登记、使用及管理工作；负责办公及教学用品的购量、发放和管理工作；抓好后勤人员的管理工作，以不断提高后勤服务工作水平；管理和维护好水、电、暖等的供给维修工作，保障各项工作高效运转。</w:t>
      </w:r>
    </w:p>
    <w:p>
      <w:pPr>
        <w:spacing w:line="840" w:lineRule="exact"/>
        <w:ind w:left="1767"/>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 xml:space="preserve">第二部分  2022年部门预算表格  </w:t>
      </w:r>
      <w:r>
        <w:rPr>
          <w:rFonts w:hint="eastAsia" w:ascii="仿宋_GB2312" w:hAnsi="黑体" w:eastAsia="仿宋_GB2312"/>
          <w:sz w:val="32"/>
          <w:szCs w:val="32"/>
          <w:highlight w:val="none"/>
        </w:rPr>
        <w:t xml:space="preserve">  </w:t>
      </w: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840" w:lineRule="exact"/>
        <w:jc w:val="center"/>
        <w:rPr>
          <w:rFonts w:ascii="仿宋_GB2312" w:hAnsi="黑体" w:eastAsia="仿宋_GB2312"/>
          <w:b/>
          <w:sz w:val="52"/>
          <w:szCs w:val="52"/>
          <w:highlight w:val="none"/>
        </w:rPr>
      </w:pPr>
      <w:r>
        <w:rPr>
          <w:rFonts w:hint="eastAsia" w:ascii="仿宋_GB2312" w:eastAsia="仿宋_GB2312"/>
          <w:color w:val="000000"/>
          <w:sz w:val="32"/>
          <w:szCs w:val="32"/>
          <w:highlight w:val="none"/>
        </w:rPr>
        <w:t>(本部分共公开</w:t>
      </w:r>
      <w:r>
        <w:rPr>
          <w:rFonts w:ascii="仿宋_GB2312" w:eastAsia="仿宋_GB2312"/>
          <w:color w:val="000000"/>
          <w:sz w:val="32"/>
          <w:szCs w:val="32"/>
          <w:highlight w:val="none"/>
        </w:rPr>
        <w:t>10</w:t>
      </w:r>
      <w:r>
        <w:rPr>
          <w:rFonts w:hint="eastAsia" w:ascii="仿宋_GB2312" w:eastAsia="仿宋_GB2312"/>
          <w:color w:val="000000"/>
          <w:sz w:val="32"/>
          <w:szCs w:val="32"/>
          <w:highlight w:val="none"/>
        </w:rPr>
        <w:t>张表，具体按通知要求公开，注意表格顺序和连续性)</w:t>
      </w:r>
    </w:p>
    <w:p>
      <w:pPr>
        <w:spacing w:line="840" w:lineRule="exact"/>
        <w:jc w:val="center"/>
        <w:rPr>
          <w:rFonts w:ascii="仿宋_GB2312" w:hAnsi="黑体" w:eastAsia="仿宋_GB2312"/>
          <w:b/>
          <w:sz w:val="52"/>
          <w:szCs w:val="52"/>
          <w:highlight w:val="none"/>
        </w:rPr>
      </w:pPr>
    </w:p>
    <w:p>
      <w:pPr>
        <w:spacing w:line="840" w:lineRule="exact"/>
        <w:jc w:val="center"/>
        <w:rPr>
          <w:rFonts w:ascii="仿宋_GB2312" w:hAnsi="黑体" w:eastAsia="仿宋_GB2312"/>
          <w:b/>
          <w:sz w:val="52"/>
          <w:szCs w:val="52"/>
          <w:highlight w:val="none"/>
        </w:rPr>
      </w:pPr>
    </w:p>
    <w:p>
      <w:pPr>
        <w:spacing w:line="840" w:lineRule="exact"/>
        <w:jc w:val="center"/>
        <w:rPr>
          <w:rFonts w:hint="eastAsia" w:ascii="仿宋_GB2312" w:hAnsi="黑体" w:eastAsia="仿宋_GB2312"/>
          <w:b/>
          <w:sz w:val="52"/>
          <w:szCs w:val="52"/>
          <w:highlight w:val="none"/>
        </w:rPr>
      </w:pPr>
    </w:p>
    <w:p>
      <w:pPr>
        <w:spacing w:line="840" w:lineRule="exact"/>
        <w:jc w:val="center"/>
        <w:rPr>
          <w:rFonts w:ascii="仿宋_GB2312" w:hAnsi="黑体" w:eastAsia="仿宋_GB2312"/>
          <w:b/>
          <w:sz w:val="52"/>
          <w:szCs w:val="52"/>
          <w:highlight w:val="none"/>
        </w:rPr>
      </w:pPr>
    </w:p>
    <w:p>
      <w:pPr>
        <w:spacing w:line="8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第三部分  部门预算情况说明</w:t>
      </w:r>
      <w:r>
        <w:rPr>
          <w:rFonts w:hint="eastAsia" w:ascii="仿宋_GB2312" w:hAnsi="黑体" w:eastAsia="仿宋_GB2312"/>
          <w:sz w:val="32"/>
          <w:szCs w:val="32"/>
          <w:highlight w:val="none"/>
        </w:rPr>
        <w:t xml:space="preserve">  </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一、部门预算总体说明</w:t>
      </w:r>
    </w:p>
    <w:p>
      <w:pPr>
        <w:spacing w:line="640" w:lineRule="exact"/>
        <w:ind w:firstLine="640" w:firstLineChars="200"/>
        <w:rPr>
          <w:rFonts w:ascii="仿宋_GB2312" w:hAnsi="宋体" w:eastAsia="仿宋_GB2312"/>
          <w:sz w:val="32"/>
          <w:szCs w:val="32"/>
          <w:highlight w:val="none"/>
        </w:rPr>
      </w:pPr>
      <w:r>
        <w:rPr>
          <w:rFonts w:hint="eastAsia" w:ascii="仿宋_GB2312" w:hAnsi="黑体" w:eastAsia="仿宋_GB2312"/>
          <w:sz w:val="32"/>
          <w:szCs w:val="32"/>
          <w:highlight w:val="none"/>
        </w:rPr>
        <w:t>2022年预算收入</w:t>
      </w:r>
      <w:r>
        <w:rPr>
          <w:rFonts w:hint="eastAsia" w:ascii="仿宋_GB2312" w:hAnsi="黑体" w:eastAsia="仿宋_GB2312"/>
          <w:sz w:val="32"/>
          <w:szCs w:val="32"/>
          <w:highlight w:val="none"/>
        </w:rPr>
        <w:t>8228205.02</w:t>
      </w:r>
      <w:r>
        <w:rPr>
          <w:rFonts w:hint="eastAsia" w:ascii="仿宋_GB2312" w:hAnsi="黑体" w:eastAsia="仿宋_GB2312"/>
          <w:sz w:val="32"/>
          <w:szCs w:val="32"/>
          <w:highlight w:val="none"/>
        </w:rPr>
        <w:t>元，其中：一般公共预算财政拨款收入</w:t>
      </w:r>
      <w:r>
        <w:rPr>
          <w:rFonts w:hint="eastAsia" w:ascii="仿宋_GB2312" w:hAnsi="黑体" w:eastAsia="仿宋_GB2312"/>
          <w:sz w:val="32"/>
          <w:szCs w:val="32"/>
          <w:highlight w:val="none"/>
        </w:rPr>
        <w:t>8228205.02</w:t>
      </w:r>
      <w:r>
        <w:rPr>
          <w:rFonts w:hint="eastAsia" w:ascii="仿宋_GB2312" w:hAnsi="黑体" w:eastAsia="仿宋_GB2312"/>
          <w:sz w:val="32"/>
          <w:szCs w:val="32"/>
          <w:highlight w:val="none"/>
        </w:rPr>
        <w:t>元，政</w:t>
      </w:r>
      <w:r>
        <w:rPr>
          <w:rFonts w:hint="eastAsia" w:ascii="仿宋_GB2312" w:hAnsi="宋体" w:eastAsia="仿宋_GB2312"/>
          <w:sz w:val="32"/>
          <w:szCs w:val="32"/>
          <w:highlight w:val="none"/>
        </w:rPr>
        <w:t>府性基金预算财政拨款收入</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元。预算支出</w:t>
      </w:r>
      <w:r>
        <w:rPr>
          <w:rFonts w:hint="eastAsia" w:ascii="仿宋_GB2312" w:hAnsi="黑体" w:eastAsia="仿宋_GB2312"/>
          <w:sz w:val="32"/>
          <w:szCs w:val="32"/>
          <w:highlight w:val="none"/>
        </w:rPr>
        <w:t>8228205.02</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val="en-US" w:eastAsia="zh-CN"/>
        </w:rPr>
        <w:t>无增减的主要原因是：上年未单独做预算</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支出按功能分类科目安排为：</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宋体" w:eastAsia="仿宋_GB2312"/>
          <w:sz w:val="32"/>
          <w:szCs w:val="32"/>
          <w:highlight w:val="none"/>
        </w:rPr>
        <w:t>一般公共服务支出</w:t>
      </w:r>
      <w:r>
        <w:rPr>
          <w:rFonts w:hint="eastAsia" w:ascii="仿宋_GB2312" w:hAnsi="黑体" w:eastAsia="仿宋_GB2312"/>
          <w:sz w:val="32"/>
          <w:szCs w:val="32"/>
          <w:highlight w:val="none"/>
        </w:rPr>
        <w:t>44208.00</w:t>
      </w:r>
      <w:r>
        <w:rPr>
          <w:rFonts w:hint="eastAsia" w:ascii="仿宋_GB2312" w:hAnsi="宋体" w:eastAsia="仿宋_GB2312"/>
          <w:sz w:val="32"/>
          <w:szCs w:val="32"/>
          <w:highlight w:val="none"/>
        </w:rPr>
        <w:t>元，其中：财政拨款</w:t>
      </w:r>
      <w:r>
        <w:rPr>
          <w:rFonts w:hint="eastAsia" w:ascii="仿宋_GB2312" w:hAnsi="黑体" w:eastAsia="仿宋_GB2312"/>
          <w:sz w:val="32"/>
          <w:szCs w:val="32"/>
          <w:highlight w:val="none"/>
        </w:rPr>
        <w:t>44208.00</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eastAsia="zh-CN"/>
        </w:rPr>
        <w:t>。</w:t>
      </w:r>
    </w:p>
    <w:p>
      <w:pPr>
        <w:spacing w:line="64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卫生健康支出324910.11元.</w:t>
      </w:r>
    </w:p>
    <w:p>
      <w:pPr>
        <w:spacing w:line="64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住房保障支出586475.28元.</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教育支出6480870.00元.</w:t>
      </w:r>
    </w:p>
    <w:p>
      <w:pPr>
        <w:spacing w:line="640" w:lineRule="exact"/>
        <w:ind w:firstLine="643" w:firstLineChars="200"/>
        <w:rPr>
          <w:rFonts w:ascii="仿宋_GB2312" w:hAnsi="黑体" w:eastAsia="仿宋_GB2312"/>
          <w:b/>
          <w:sz w:val="32"/>
          <w:szCs w:val="32"/>
          <w:highlight w:val="none"/>
        </w:rPr>
      </w:pPr>
      <w:r>
        <w:rPr>
          <w:rFonts w:hint="eastAsia" w:ascii="仿宋_GB2312" w:hAnsi="黑体" w:eastAsia="仿宋_GB2312"/>
          <w:b/>
          <w:sz w:val="32"/>
          <w:szCs w:val="32"/>
          <w:highlight w:val="none"/>
        </w:rPr>
        <w:t>支出按经济分类科目安排为：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工资福利支出</w:t>
      </w:r>
      <w:r>
        <w:rPr>
          <w:rFonts w:hint="eastAsia" w:ascii="仿宋_GB2312" w:hAnsi="黑体" w:eastAsia="仿宋_GB2312"/>
          <w:sz w:val="32"/>
          <w:szCs w:val="32"/>
          <w:highlight w:val="none"/>
        </w:rPr>
        <w:t>8113617.02</w:t>
      </w:r>
      <w:r>
        <w:rPr>
          <w:rFonts w:hint="eastAsia" w:ascii="仿宋_GB2312" w:hAnsi="宋体" w:eastAsia="仿宋_GB2312"/>
          <w:sz w:val="32"/>
          <w:szCs w:val="32"/>
          <w:highlight w:val="none"/>
        </w:rPr>
        <w:t>元，商品和服务</w:t>
      </w:r>
      <w:r>
        <w:rPr>
          <w:rFonts w:hint="eastAsia" w:ascii="仿宋_GB2312" w:hAnsi="黑体" w:eastAsia="仿宋_GB2312"/>
          <w:sz w:val="32"/>
          <w:szCs w:val="32"/>
          <w:highlight w:val="none"/>
          <w:lang w:eastAsia="zh-CN"/>
        </w:rPr>
        <w:t>0</w:t>
      </w:r>
      <w:r>
        <w:rPr>
          <w:rFonts w:hint="eastAsia" w:ascii="仿宋_GB2312" w:hAnsi="宋体" w:eastAsia="仿宋_GB2312"/>
          <w:sz w:val="32"/>
          <w:szCs w:val="32"/>
          <w:highlight w:val="none"/>
        </w:rPr>
        <w:t>元，对个人和家庭的补助</w:t>
      </w:r>
      <w:r>
        <w:rPr>
          <w:rFonts w:hint="eastAsia" w:ascii="仿宋_GB2312" w:hAnsi="黑体" w:eastAsia="仿宋_GB2312"/>
          <w:sz w:val="32"/>
          <w:szCs w:val="32"/>
          <w:highlight w:val="none"/>
          <w:lang w:eastAsia="zh-CN"/>
        </w:rPr>
        <w:t>0</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eastAsia="zh-CN"/>
        </w:rPr>
        <w:t>项目</w:t>
      </w:r>
      <w:r>
        <w:rPr>
          <w:rFonts w:hint="eastAsia" w:ascii="仿宋_GB2312" w:hAnsi="宋体" w:eastAsia="仿宋_GB2312"/>
          <w:sz w:val="32"/>
          <w:szCs w:val="32"/>
          <w:highlight w:val="none"/>
        </w:rPr>
        <w:t>支出</w:t>
      </w:r>
      <w:r>
        <w:rPr>
          <w:rFonts w:hint="eastAsia" w:ascii="仿宋_GB2312" w:hAnsi="黑体" w:eastAsia="仿宋_GB2312"/>
          <w:sz w:val="32"/>
          <w:szCs w:val="32"/>
          <w:highlight w:val="none"/>
          <w:lang w:eastAsia="zh-CN"/>
        </w:rPr>
        <w:t>114588.00</w:t>
      </w:r>
      <w:r>
        <w:rPr>
          <w:rFonts w:hint="eastAsia" w:ascii="仿宋_GB2312" w:hAnsi="宋体" w:eastAsia="仿宋_GB2312"/>
          <w:sz w:val="32"/>
          <w:szCs w:val="32"/>
          <w:highlight w:val="none"/>
        </w:rPr>
        <w:t>元。</w:t>
      </w:r>
      <w:bookmarkStart w:id="0" w:name="_GoBack"/>
      <w:bookmarkEnd w:id="0"/>
    </w:p>
    <w:p>
      <w:pPr>
        <w:spacing w:line="640" w:lineRule="exact"/>
        <w:ind w:firstLine="640" w:firstLineChars="200"/>
        <w:rPr>
          <w:rFonts w:ascii="仿宋_GB2312" w:hAnsi="黑体" w:eastAsia="仿宋_GB2312"/>
          <w:color w:val="FF0000"/>
          <w:sz w:val="32"/>
          <w:szCs w:val="32"/>
          <w:highlight w:val="none"/>
        </w:rPr>
      </w:pPr>
      <w:r>
        <w:rPr>
          <w:rFonts w:hint="eastAsia" w:ascii="黑体" w:hAnsi="黑体" w:eastAsia="黑体"/>
          <w:sz w:val="32"/>
          <w:szCs w:val="32"/>
          <w:highlight w:val="none"/>
        </w:rPr>
        <w:t>二、部门一般公共预算支出情况说明</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lang w:eastAsia="zh-CN"/>
        </w:rPr>
        <w:t>（</w:t>
      </w:r>
      <w:r>
        <w:rPr>
          <w:rFonts w:hint="eastAsia" w:ascii="楷体_GB2312" w:hAnsi="黑体" w:eastAsia="楷体_GB2312"/>
          <w:b/>
          <w:sz w:val="32"/>
          <w:szCs w:val="32"/>
          <w:highlight w:val="none"/>
        </w:rPr>
        <w:t>一）一般公共服务支出群众团体事务（类）</w:t>
      </w:r>
      <w:r>
        <w:rPr>
          <w:rFonts w:hint="eastAsia" w:ascii="仿宋_GB2312" w:hAnsi="黑体" w:eastAsia="仿宋_GB2312"/>
          <w:sz w:val="32"/>
          <w:szCs w:val="32"/>
          <w:highlight w:val="none"/>
        </w:rPr>
        <w:t>群众团体事务</w:t>
      </w:r>
      <w:r>
        <w:rPr>
          <w:rFonts w:hint="eastAsia" w:ascii="楷体_GB2312" w:hAnsi="黑体" w:eastAsia="楷体_GB2312"/>
          <w:b/>
          <w:sz w:val="32"/>
          <w:szCs w:val="32"/>
          <w:highlight w:val="none"/>
        </w:rPr>
        <w:t>（款）</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rPr>
        <w:t>44208.00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其中：工会事务支出44208.00元</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sz w:val="32"/>
          <w:szCs w:val="32"/>
          <w:highlight w:val="none"/>
        </w:rPr>
      </w:pPr>
      <w:r>
        <w:rPr>
          <w:rFonts w:hint="eastAsia" w:ascii="仿宋_GB2312" w:hAnsi="黑体" w:eastAsia="仿宋_GB2312"/>
          <w:b/>
          <w:sz w:val="32"/>
          <w:szCs w:val="32"/>
          <w:highlight w:val="none"/>
        </w:rPr>
        <w:t>（二）社会保障和就业支出（类</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rPr>
        <w:t>行政事业单位养老支出</w:t>
      </w:r>
      <w:r>
        <w:rPr>
          <w:rFonts w:hint="eastAsia" w:ascii="仿宋_GB2312" w:hAnsi="黑体" w:eastAsia="仿宋_GB2312"/>
          <w:sz w:val="32"/>
          <w:szCs w:val="32"/>
          <w:highlight w:val="none"/>
        </w:rPr>
        <w:t>（款）2022年预算支出</w:t>
      </w:r>
      <w:r>
        <w:rPr>
          <w:rFonts w:hint="eastAsia" w:ascii="仿宋_GB2312" w:hAnsi="黑体" w:eastAsia="仿宋_GB2312"/>
          <w:sz w:val="32"/>
          <w:szCs w:val="32"/>
          <w:highlight w:val="none"/>
        </w:rPr>
        <w:t>791741.63</w:t>
      </w:r>
      <w:r>
        <w:rPr>
          <w:rFonts w:hint="eastAsia" w:ascii="仿宋_GB2312" w:hAnsi="黑体" w:eastAsia="仿宋_GB2312"/>
          <w:sz w:val="32"/>
          <w:szCs w:val="32"/>
          <w:highlight w:val="none"/>
        </w:rPr>
        <w:t>元，。其中：</w:t>
      </w:r>
      <w:r>
        <w:rPr>
          <w:rFonts w:hint="eastAsia" w:ascii="仿宋_GB2312" w:hAnsi="黑体" w:eastAsia="仿宋_GB2312"/>
          <w:sz w:val="32"/>
          <w:szCs w:val="32"/>
          <w:highlight w:val="none"/>
        </w:rPr>
        <w:t>机关事业单位基本养老保险缴费支出</w:t>
      </w:r>
      <w:r>
        <w:rPr>
          <w:rFonts w:hint="eastAsia" w:ascii="仿宋_GB2312" w:hAnsi="黑体" w:eastAsia="仿宋_GB2312"/>
          <w:sz w:val="32"/>
          <w:szCs w:val="32"/>
          <w:highlight w:val="none"/>
        </w:rPr>
        <w:t>（项）2022年预算支出</w:t>
      </w:r>
      <w:r>
        <w:rPr>
          <w:rFonts w:hint="eastAsia" w:ascii="仿宋_GB2312" w:hAnsi="黑体" w:eastAsia="仿宋_GB2312"/>
          <w:sz w:val="32"/>
          <w:szCs w:val="32"/>
          <w:highlight w:val="none"/>
        </w:rPr>
        <w:t>781967.04</w:t>
      </w:r>
      <w:r>
        <w:rPr>
          <w:rFonts w:hint="eastAsia" w:ascii="仿宋_GB2312" w:hAnsi="黑体" w:eastAsia="仿宋_GB2312"/>
          <w:sz w:val="32"/>
          <w:szCs w:val="32"/>
          <w:highlight w:val="none"/>
        </w:rPr>
        <w:t>元。</w:t>
      </w:r>
    </w:p>
    <w:p>
      <w:pPr>
        <w:spacing w:line="640" w:lineRule="exact"/>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rPr>
        <w:t>财政对其他社会保险基金的补助项</w:t>
      </w:r>
      <w:r>
        <w:rPr>
          <w:rFonts w:hint="eastAsia" w:ascii="仿宋_GB2312" w:hAnsi="黑体" w:eastAsia="仿宋_GB2312"/>
          <w:sz w:val="32"/>
          <w:szCs w:val="32"/>
          <w:highlight w:val="none"/>
          <w:lang w:val="en-US" w:eastAsia="zh-CN"/>
        </w:rPr>
        <w:t>支出9774.59元。其中：财政对工伤保险基金的补助</w:t>
      </w:r>
      <w:r>
        <w:rPr>
          <w:rFonts w:hint="eastAsia" w:ascii="仿宋_GB2312" w:hAnsi="黑体" w:eastAsia="仿宋_GB2312"/>
          <w:sz w:val="32"/>
          <w:szCs w:val="32"/>
          <w:highlight w:val="none"/>
          <w:lang w:val="en-US" w:eastAsia="zh-CN"/>
        </w:rPr>
        <w:tab/>
      </w:r>
      <w:r>
        <w:rPr>
          <w:rFonts w:hint="eastAsia" w:ascii="仿宋_GB2312" w:hAnsi="黑体" w:eastAsia="仿宋_GB2312"/>
          <w:sz w:val="32"/>
          <w:szCs w:val="32"/>
          <w:highlight w:val="none"/>
          <w:lang w:val="en-US" w:eastAsia="zh-CN"/>
        </w:rPr>
        <w:t>9774.59元。</w:t>
      </w:r>
    </w:p>
    <w:p>
      <w:pPr>
        <w:numPr>
          <w:ilvl w:val="0"/>
          <w:numId w:val="2"/>
        </w:numPr>
        <w:spacing w:line="640" w:lineRule="exact"/>
        <w:ind w:firstLine="964" w:firstLineChars="300"/>
        <w:rPr>
          <w:rFonts w:hint="eastAsia" w:ascii="仿宋_GB2312" w:hAnsi="黑体" w:eastAsia="仿宋_GB2312"/>
          <w:sz w:val="32"/>
          <w:szCs w:val="32"/>
          <w:highlight w:val="none"/>
          <w:lang w:eastAsia="zh-CN"/>
        </w:rPr>
      </w:pPr>
      <w:r>
        <w:rPr>
          <w:rFonts w:hint="eastAsia" w:ascii="仿宋_GB2312" w:hAnsi="黑体" w:eastAsia="仿宋_GB2312"/>
          <w:b/>
          <w:sz w:val="32"/>
          <w:szCs w:val="32"/>
          <w:highlight w:val="none"/>
        </w:rPr>
        <w:t>教育支出（类</w:t>
      </w:r>
      <w:r>
        <w:rPr>
          <w:rFonts w:hint="eastAsia" w:ascii="仿宋_GB2312" w:hAnsi="黑体" w:eastAsia="仿宋_GB2312"/>
          <w:sz w:val="32"/>
          <w:szCs w:val="32"/>
          <w:highlight w:val="none"/>
        </w:rPr>
        <w:t>）普通教育</w:t>
      </w:r>
      <w:r>
        <w:rPr>
          <w:rFonts w:hint="eastAsia" w:ascii="仿宋_GB2312" w:hAnsi="黑体" w:eastAsia="仿宋_GB2312"/>
          <w:sz w:val="32"/>
          <w:szCs w:val="32"/>
          <w:highlight w:val="none"/>
        </w:rPr>
        <w:tab/>
      </w:r>
      <w:r>
        <w:rPr>
          <w:rFonts w:hint="eastAsia" w:ascii="仿宋_GB2312" w:hAnsi="黑体" w:eastAsia="仿宋_GB2312"/>
          <w:sz w:val="32"/>
          <w:szCs w:val="32"/>
          <w:highlight w:val="none"/>
          <w:lang w:eastAsia="zh-CN"/>
        </w:rPr>
        <w:t>支出</w:t>
      </w:r>
      <w:r>
        <w:rPr>
          <w:rFonts w:hint="eastAsia" w:ascii="仿宋_GB2312" w:hAnsi="黑体" w:eastAsia="仿宋_GB2312"/>
          <w:sz w:val="32"/>
          <w:szCs w:val="32"/>
          <w:highlight w:val="none"/>
        </w:rPr>
        <w:t>6480870.00</w:t>
      </w:r>
      <w:r>
        <w:rPr>
          <w:rFonts w:hint="eastAsia" w:ascii="仿宋_GB2312" w:hAnsi="黑体" w:eastAsia="仿宋_GB2312"/>
          <w:sz w:val="32"/>
          <w:szCs w:val="32"/>
          <w:highlight w:val="none"/>
          <w:lang w:eastAsia="zh-CN"/>
        </w:rPr>
        <w:t>元，其中</w:t>
      </w:r>
      <w:r>
        <w:rPr>
          <w:rFonts w:hint="eastAsia" w:ascii="仿宋_GB2312" w:hAnsi="黑体" w:eastAsia="仿宋_GB2312"/>
          <w:sz w:val="32"/>
          <w:szCs w:val="32"/>
          <w:highlight w:val="none"/>
        </w:rPr>
        <w:t>初中教育</w:t>
      </w:r>
      <w:r>
        <w:rPr>
          <w:rFonts w:hint="eastAsia" w:ascii="仿宋_GB2312" w:hAnsi="黑体" w:eastAsia="仿宋_GB2312"/>
          <w:sz w:val="32"/>
          <w:szCs w:val="32"/>
          <w:highlight w:val="none"/>
          <w:lang w:eastAsia="zh-CN"/>
        </w:rPr>
        <w:t>支出</w:t>
      </w:r>
      <w:r>
        <w:rPr>
          <w:rFonts w:hint="eastAsia" w:ascii="仿宋_GB2312" w:hAnsi="黑体" w:eastAsia="仿宋_GB2312"/>
          <w:sz w:val="32"/>
          <w:szCs w:val="32"/>
          <w:highlight w:val="none"/>
        </w:rPr>
        <w:t>6366282.00</w:t>
      </w:r>
      <w:r>
        <w:rPr>
          <w:rFonts w:hint="eastAsia" w:ascii="仿宋_GB2312" w:hAnsi="黑体" w:eastAsia="仿宋_GB2312"/>
          <w:sz w:val="32"/>
          <w:szCs w:val="32"/>
          <w:highlight w:val="none"/>
          <w:lang w:eastAsia="zh-CN"/>
        </w:rPr>
        <w:t>元，</w:t>
      </w:r>
      <w:r>
        <w:rPr>
          <w:rFonts w:hint="eastAsia" w:ascii="仿宋_GB2312" w:hAnsi="黑体" w:eastAsia="仿宋_GB2312"/>
          <w:sz w:val="32"/>
          <w:szCs w:val="32"/>
          <w:highlight w:val="none"/>
        </w:rPr>
        <w:t>其他普通教育支出114588.00</w:t>
      </w:r>
      <w:r>
        <w:rPr>
          <w:rFonts w:hint="eastAsia" w:ascii="仿宋_GB2312" w:hAnsi="黑体" w:eastAsia="仿宋_GB2312"/>
          <w:sz w:val="32"/>
          <w:szCs w:val="32"/>
          <w:highlight w:val="none"/>
          <w:lang w:eastAsia="zh-CN"/>
        </w:rPr>
        <w:t>元。</w:t>
      </w:r>
    </w:p>
    <w:p>
      <w:pPr>
        <w:numPr>
          <w:ilvl w:val="0"/>
          <w:numId w:val="2"/>
        </w:numPr>
        <w:spacing w:line="640" w:lineRule="exact"/>
        <w:ind w:firstLine="964" w:firstLineChars="300"/>
        <w:rPr>
          <w:rFonts w:hint="eastAsia" w:ascii="仿宋_GB2312" w:hAnsi="黑体" w:eastAsia="仿宋_GB2312"/>
          <w:sz w:val="32"/>
          <w:szCs w:val="32"/>
          <w:highlight w:val="none"/>
          <w:lang w:val="en-US" w:eastAsia="zh-CN"/>
        </w:rPr>
      </w:pPr>
      <w:r>
        <w:rPr>
          <w:rFonts w:hint="eastAsia" w:ascii="仿宋_GB2312" w:hAnsi="黑体" w:eastAsia="仿宋_GB2312"/>
          <w:b/>
          <w:sz w:val="32"/>
          <w:szCs w:val="32"/>
          <w:highlight w:val="none"/>
          <w:lang w:eastAsia="zh-CN"/>
        </w:rPr>
        <w:t>卫生健康支出</w:t>
      </w:r>
      <w:r>
        <w:rPr>
          <w:rFonts w:hint="eastAsia" w:ascii="仿宋_GB2312" w:hAnsi="黑体" w:eastAsia="仿宋_GB2312"/>
          <w:b/>
          <w:sz w:val="32"/>
          <w:szCs w:val="32"/>
          <w:highlight w:val="none"/>
        </w:rPr>
        <w:t>（类</w:t>
      </w:r>
      <w:r>
        <w:rPr>
          <w:rFonts w:hint="eastAsia" w:ascii="仿宋_GB2312" w:hAnsi="黑体" w:eastAsia="仿宋_GB2312"/>
          <w:sz w:val="32"/>
          <w:szCs w:val="32"/>
          <w:highlight w:val="none"/>
        </w:rPr>
        <w:t>）财政对职工基本医疗保险基金的补助</w:t>
      </w:r>
      <w:r>
        <w:rPr>
          <w:rFonts w:hint="eastAsia" w:ascii="仿宋_GB2312" w:hAnsi="黑体" w:eastAsia="仿宋_GB2312"/>
          <w:sz w:val="32"/>
          <w:szCs w:val="32"/>
          <w:highlight w:val="none"/>
          <w:lang w:eastAsia="zh-CN"/>
        </w:rPr>
        <w:t>支出</w:t>
      </w:r>
      <w:r>
        <w:rPr>
          <w:rFonts w:hint="eastAsia" w:ascii="仿宋_GB2312" w:hAnsi="黑体" w:eastAsia="仿宋_GB2312"/>
          <w:sz w:val="32"/>
          <w:szCs w:val="32"/>
          <w:highlight w:val="none"/>
        </w:rPr>
        <w:t>324910.11</w:t>
      </w:r>
      <w:r>
        <w:rPr>
          <w:rFonts w:hint="eastAsia" w:ascii="仿宋_GB2312" w:hAnsi="黑体" w:eastAsia="仿宋_GB2312"/>
          <w:sz w:val="32"/>
          <w:szCs w:val="32"/>
          <w:highlight w:val="none"/>
          <w:lang w:eastAsia="zh-CN"/>
        </w:rPr>
        <w:t>元。</w:t>
      </w:r>
    </w:p>
    <w:p>
      <w:pPr>
        <w:numPr>
          <w:ilvl w:val="0"/>
          <w:numId w:val="2"/>
        </w:numPr>
        <w:spacing w:line="640" w:lineRule="exact"/>
        <w:ind w:firstLine="964" w:firstLineChars="300"/>
        <w:rPr>
          <w:rFonts w:hint="eastAsia" w:ascii="仿宋_GB2312" w:hAnsi="黑体" w:eastAsia="仿宋_GB2312"/>
          <w:sz w:val="32"/>
          <w:szCs w:val="32"/>
          <w:highlight w:val="none"/>
          <w:lang w:val="en-US" w:eastAsia="zh-CN"/>
        </w:rPr>
      </w:pPr>
      <w:r>
        <w:rPr>
          <w:rFonts w:hint="eastAsia" w:ascii="仿宋_GB2312" w:hAnsi="黑体" w:eastAsia="仿宋_GB2312"/>
          <w:b/>
          <w:sz w:val="32"/>
          <w:szCs w:val="32"/>
          <w:highlight w:val="none"/>
          <w:lang w:eastAsia="zh-CN"/>
        </w:rPr>
        <w:t>住房保障支出</w:t>
      </w:r>
      <w:r>
        <w:rPr>
          <w:rFonts w:hint="eastAsia" w:ascii="仿宋_GB2312" w:hAnsi="黑体" w:eastAsia="仿宋_GB2312"/>
          <w:b/>
          <w:sz w:val="32"/>
          <w:szCs w:val="32"/>
          <w:highlight w:val="none"/>
        </w:rPr>
        <w:t>（类</w:t>
      </w:r>
      <w:r>
        <w:rPr>
          <w:rFonts w:hint="eastAsia" w:ascii="仿宋_GB2312" w:hAnsi="黑体" w:eastAsia="仿宋_GB2312"/>
          <w:sz w:val="32"/>
          <w:szCs w:val="32"/>
          <w:highlight w:val="none"/>
        </w:rPr>
        <w:t>）住房公积金</w:t>
      </w:r>
      <w:r>
        <w:rPr>
          <w:rFonts w:hint="eastAsia" w:ascii="仿宋_GB2312" w:hAnsi="黑体" w:eastAsia="仿宋_GB2312"/>
          <w:sz w:val="32"/>
          <w:szCs w:val="32"/>
          <w:highlight w:val="none"/>
          <w:lang w:eastAsia="zh-CN"/>
        </w:rPr>
        <w:t>支出</w:t>
      </w:r>
      <w:r>
        <w:rPr>
          <w:rFonts w:hint="eastAsia" w:ascii="仿宋_GB2312" w:hAnsi="黑体" w:eastAsia="仿宋_GB2312"/>
          <w:sz w:val="32"/>
          <w:szCs w:val="32"/>
          <w:highlight w:val="none"/>
        </w:rPr>
        <w:t>586475.28</w:t>
      </w:r>
      <w:r>
        <w:rPr>
          <w:rFonts w:hint="eastAsia" w:ascii="仿宋_GB2312" w:hAnsi="黑体" w:eastAsia="仿宋_GB2312"/>
          <w:sz w:val="32"/>
          <w:szCs w:val="32"/>
          <w:highlight w:val="none"/>
          <w:lang w:eastAsia="zh-CN"/>
        </w:rPr>
        <w:t>元</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三、部门一般公共预算基本支出情况说明</w:t>
      </w:r>
    </w:p>
    <w:p>
      <w:pPr>
        <w:ind w:firstLine="640" w:firstLineChars="200"/>
        <w:rPr>
          <w:highlight w:val="none"/>
        </w:rPr>
      </w:pPr>
      <w:r>
        <w:rPr>
          <w:rFonts w:hint="eastAsia" w:ascii="仿宋_GB2312" w:hAnsi="黑体" w:eastAsia="仿宋_GB2312"/>
          <w:sz w:val="32"/>
          <w:szCs w:val="32"/>
          <w:highlight w:val="none"/>
        </w:rPr>
        <w:t>2022年一般公共预算基本支出8113617.02元，其中：人员经费8113617.02元，单位运转经费</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元，专项资金</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元，比上年预算数</w:t>
      </w:r>
      <w:r>
        <w:rPr>
          <w:rFonts w:hint="eastAsia" w:ascii="仿宋_GB2312" w:hAnsi="宋体" w:eastAsia="仿宋_GB2312"/>
          <w:sz w:val="32"/>
          <w:szCs w:val="32"/>
          <w:highlight w:val="none"/>
        </w:rPr>
        <w:t>减少</w:t>
      </w:r>
      <w:r>
        <w:rPr>
          <w:rFonts w:hint="eastAsia" w:ascii="仿宋_GB2312" w:hAnsi="黑体" w:eastAsia="仿宋_GB2312"/>
          <w:sz w:val="32"/>
          <w:szCs w:val="32"/>
          <w:highlight w:val="none"/>
          <w:lang w:eastAsia="zh-CN"/>
        </w:rPr>
        <w:t>0</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四、部门“三公”经费情况说明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2022年“三公”经费预</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元，主要原因是</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（一）因公出国（境）费</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rPr>
        <w:t>变化情况</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（二）公务接待费</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rPr>
        <w:t>变化情况</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（三）公务用车购置和运行</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元，比上年预算数增加</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元，其中：公务用车购置费</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元，比变化情况；公务用车运行费</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元，比上年预算数增长</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(四）会议费</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元，减少</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(五) 培训费</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元，减少</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五、部门机关运行经费及政府采购预算情况说明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2022年机关运行经费预算</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元，比上年预算数增加</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元。政府采购预算</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元，比上年预算数增加</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元，增长</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%，主要是：</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，其中：政府采购货物预算</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元，政府采购工程预算</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元，政府采购服务预算</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p>
    <w:p>
      <w:pPr>
        <w:rPr>
          <w:rFonts w:ascii="仿宋_GB2312" w:hAnsi="黑体" w:eastAsia="仿宋_GB2312"/>
          <w:sz w:val="32"/>
          <w:szCs w:val="32"/>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8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第四部分  名词解释</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（一）财政拨款收入：</w:t>
      </w:r>
      <w:r>
        <w:rPr>
          <w:rFonts w:ascii="仿宋_GB2312" w:hAnsi="黑体" w:eastAsia="仿宋_GB2312"/>
          <w:sz w:val="32"/>
          <w:szCs w:val="32"/>
          <w:highlight w:val="none"/>
        </w:rPr>
        <w:t>指由</w:t>
      </w:r>
      <w:r>
        <w:rPr>
          <w:rFonts w:hint="eastAsia" w:ascii="仿宋_GB2312" w:hAnsi="黑体" w:eastAsia="仿宋_GB2312"/>
          <w:sz w:val="32"/>
          <w:szCs w:val="32"/>
          <w:highlight w:val="none"/>
        </w:rPr>
        <w:t>县级</w:t>
      </w:r>
      <w:r>
        <w:rPr>
          <w:rFonts w:ascii="仿宋_GB2312" w:hAnsi="黑体" w:eastAsia="仿宋_GB2312"/>
          <w:sz w:val="32"/>
          <w:szCs w:val="32"/>
          <w:highlight w:val="none"/>
        </w:rPr>
        <w:t>财政拨款形成的部门收入。按照现行预算管理制度，</w:t>
      </w:r>
      <w:r>
        <w:rPr>
          <w:rFonts w:hint="eastAsia" w:ascii="仿宋_GB2312" w:hAnsi="黑体" w:eastAsia="仿宋_GB2312"/>
          <w:sz w:val="32"/>
          <w:szCs w:val="32"/>
          <w:highlight w:val="none"/>
        </w:rPr>
        <w:t>县级</w:t>
      </w:r>
      <w:r>
        <w:rPr>
          <w:rFonts w:ascii="仿宋_GB2312" w:hAnsi="黑体" w:eastAsia="仿宋_GB2312"/>
          <w:sz w:val="32"/>
          <w:szCs w:val="32"/>
          <w:highlight w:val="none"/>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（二）上年结转：</w:t>
      </w:r>
      <w:r>
        <w:rPr>
          <w:rFonts w:ascii="仿宋_GB2312" w:hAnsi="黑体" w:eastAsia="仿宋_GB2312"/>
          <w:sz w:val="32"/>
          <w:szCs w:val="32"/>
          <w:highlight w:val="none"/>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（三）基本支出：</w:t>
      </w:r>
      <w:r>
        <w:rPr>
          <w:rFonts w:ascii="仿宋_GB2312" w:hAnsi="黑体" w:eastAsia="仿宋_GB2312"/>
          <w:sz w:val="32"/>
          <w:szCs w:val="32"/>
          <w:highlight w:val="none"/>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（四）项目支出：</w:t>
      </w:r>
      <w:r>
        <w:rPr>
          <w:rFonts w:ascii="仿宋_GB2312" w:hAnsi="黑体" w:eastAsia="仿宋_GB2312"/>
          <w:sz w:val="32"/>
          <w:szCs w:val="32"/>
          <w:highlight w:val="none"/>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（五）三公经费：</w:t>
      </w:r>
      <w:r>
        <w:rPr>
          <w:rFonts w:ascii="仿宋_GB2312" w:hAnsi="黑体" w:eastAsia="仿宋_GB2312"/>
          <w:sz w:val="32"/>
          <w:szCs w:val="32"/>
          <w:highlight w:val="none"/>
        </w:rPr>
        <w:t>是指</w:t>
      </w:r>
      <w:r>
        <w:rPr>
          <w:rFonts w:hint="eastAsia" w:ascii="仿宋_GB2312" w:hAnsi="黑体" w:eastAsia="仿宋_GB2312"/>
          <w:sz w:val="32"/>
          <w:szCs w:val="32"/>
          <w:highlight w:val="none"/>
        </w:rPr>
        <w:t>县级</w:t>
      </w:r>
      <w:r>
        <w:rPr>
          <w:rFonts w:ascii="仿宋_GB2312" w:hAnsi="黑体" w:eastAsia="仿宋_GB2312"/>
          <w:sz w:val="32"/>
          <w:szCs w:val="32"/>
          <w:highlight w:val="none"/>
        </w:rPr>
        <w:t>部门用财政拨款安排的因公出国（境）费，公务接待费</w:t>
      </w:r>
      <w:r>
        <w:rPr>
          <w:rFonts w:hint="eastAsia" w:ascii="仿宋_GB2312" w:hAnsi="黑体" w:eastAsia="仿宋_GB2312"/>
          <w:sz w:val="32"/>
          <w:szCs w:val="32"/>
          <w:highlight w:val="none"/>
        </w:rPr>
        <w:t>，</w:t>
      </w:r>
      <w:r>
        <w:rPr>
          <w:rFonts w:ascii="仿宋_GB2312" w:hAnsi="黑体" w:eastAsia="仿宋_GB2312"/>
          <w:sz w:val="32"/>
          <w:szCs w:val="32"/>
          <w:highlight w:val="none"/>
        </w:rPr>
        <w:t>公务用车购置及运行费。</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（六）机关运行经费：</w:t>
      </w:r>
      <w:r>
        <w:rPr>
          <w:rFonts w:ascii="仿宋_GB2312" w:hAnsi="黑体" w:eastAsia="仿宋_GB2312"/>
          <w:sz w:val="32"/>
          <w:szCs w:val="32"/>
          <w:highlight w:val="none"/>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highlight w:val="none"/>
        </w:rPr>
      </w:pPr>
    </w:p>
    <w:p>
      <w:pPr>
        <w:ind w:firstLine="643" w:firstLineChars="200"/>
        <w:jc w:val="center"/>
        <w:rPr>
          <w:rFonts w:ascii="仿宋_GB2312" w:hAnsi="黑体" w:eastAsia="仿宋_GB2312"/>
          <w:b/>
          <w:bCs/>
          <w:sz w:val="32"/>
          <w:szCs w:val="32"/>
          <w:highlight w:val="none"/>
        </w:rPr>
      </w:pPr>
      <w:r>
        <w:rPr>
          <w:rFonts w:hint="eastAsia" w:ascii="仿宋_GB2312" w:hAnsi="黑体" w:eastAsia="仿宋_GB2312"/>
          <w:b/>
          <w:bCs/>
          <w:sz w:val="32"/>
          <w:szCs w:val="32"/>
          <w:highlight w:val="none"/>
        </w:rPr>
        <w:t>填表说明</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highlight w:val="none"/>
        </w:rPr>
      </w:pPr>
      <w:r>
        <w:rPr>
          <w:rFonts w:hint="eastAsia" w:ascii="仿宋_GB2312" w:hAnsi="黑体" w:eastAsia="仿宋_GB2312"/>
          <w:sz w:val="32"/>
          <w:szCs w:val="32"/>
          <w:highlight w:val="none"/>
        </w:rPr>
        <w:t>3.参照表样中标红的内容以及本页内容，是对部门在编写公开说明时的一些提示，说明完成后，标红内容全部删除。</w:t>
      </w:r>
    </w:p>
    <w:p>
      <w:pPr>
        <w:ind w:firstLine="640"/>
        <w:rPr>
          <w:rFonts w:ascii="仿宋_GB2312" w:hAnsi="黑体" w:eastAsia="仿宋_GB2312"/>
          <w:sz w:val="32"/>
          <w:szCs w:val="32"/>
          <w:highlight w:val="none"/>
        </w:rPr>
      </w:pPr>
      <w:r>
        <w:rPr>
          <w:rFonts w:hint="eastAsia" w:ascii="仿宋_GB2312" w:hAnsi="黑体" w:eastAsia="仿宋_GB2312"/>
          <w:sz w:val="32"/>
          <w:szCs w:val="32"/>
          <w:highlight w:val="none"/>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C5AC02"/>
    <w:multiLevelType w:val="singleLevel"/>
    <w:tmpl w:val="17C5AC02"/>
    <w:lvl w:ilvl="0" w:tentative="0">
      <w:start w:val="3"/>
      <w:numFmt w:val="chineseCounting"/>
      <w:suff w:val="nothing"/>
      <w:lvlText w:val="（%1）"/>
      <w:lvlJc w:val="left"/>
      <w:rPr>
        <w:rFonts w:hint="eastAsia"/>
        <w:b/>
        <w:bCs/>
      </w:rPr>
    </w:lvl>
  </w:abstractNum>
  <w:abstractNum w:abstractNumId="1">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5ZmQyODRiYmUyMWI4Y2Q1ZTRhYThiOTM0MTZjMDU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60021DC"/>
    <w:rsid w:val="064D410C"/>
    <w:rsid w:val="06746E88"/>
    <w:rsid w:val="07EA6CFD"/>
    <w:rsid w:val="0A116753"/>
    <w:rsid w:val="0B896034"/>
    <w:rsid w:val="0D824E94"/>
    <w:rsid w:val="0E6F37D9"/>
    <w:rsid w:val="112936A0"/>
    <w:rsid w:val="1250416D"/>
    <w:rsid w:val="13B82E0D"/>
    <w:rsid w:val="141D039C"/>
    <w:rsid w:val="17432B85"/>
    <w:rsid w:val="18402212"/>
    <w:rsid w:val="1909264A"/>
    <w:rsid w:val="198119BE"/>
    <w:rsid w:val="1B78482C"/>
    <w:rsid w:val="1C6D1D31"/>
    <w:rsid w:val="1D654F62"/>
    <w:rsid w:val="204B1966"/>
    <w:rsid w:val="205A7194"/>
    <w:rsid w:val="210F4887"/>
    <w:rsid w:val="22273516"/>
    <w:rsid w:val="2233056C"/>
    <w:rsid w:val="23513756"/>
    <w:rsid w:val="250F1490"/>
    <w:rsid w:val="292A0545"/>
    <w:rsid w:val="2B26350E"/>
    <w:rsid w:val="2B5C1C56"/>
    <w:rsid w:val="2BCF3D4E"/>
    <w:rsid w:val="2D550DF7"/>
    <w:rsid w:val="2DBA0562"/>
    <w:rsid w:val="31352995"/>
    <w:rsid w:val="32A96D1A"/>
    <w:rsid w:val="34032DB0"/>
    <w:rsid w:val="34B82D6F"/>
    <w:rsid w:val="373703E1"/>
    <w:rsid w:val="37580FE7"/>
    <w:rsid w:val="396616D2"/>
    <w:rsid w:val="39A71DAE"/>
    <w:rsid w:val="3D8C4411"/>
    <w:rsid w:val="40465DD0"/>
    <w:rsid w:val="40CC1D5D"/>
    <w:rsid w:val="416268DB"/>
    <w:rsid w:val="452F6292"/>
    <w:rsid w:val="47AF499B"/>
    <w:rsid w:val="484D612A"/>
    <w:rsid w:val="48A9072C"/>
    <w:rsid w:val="4D903B41"/>
    <w:rsid w:val="4DA8126D"/>
    <w:rsid w:val="4DD72226"/>
    <w:rsid w:val="4EA300AE"/>
    <w:rsid w:val="50622DD8"/>
    <w:rsid w:val="51C77E42"/>
    <w:rsid w:val="54B1376D"/>
    <w:rsid w:val="56311F34"/>
    <w:rsid w:val="564548F7"/>
    <w:rsid w:val="565305B1"/>
    <w:rsid w:val="56C73340"/>
    <w:rsid w:val="59441D15"/>
    <w:rsid w:val="5A3206F2"/>
    <w:rsid w:val="61BF343D"/>
    <w:rsid w:val="61EF1B1B"/>
    <w:rsid w:val="621A3658"/>
    <w:rsid w:val="62B62979"/>
    <w:rsid w:val="64252B6E"/>
    <w:rsid w:val="651520BC"/>
    <w:rsid w:val="661A6258"/>
    <w:rsid w:val="6A136FDE"/>
    <w:rsid w:val="6A752B54"/>
    <w:rsid w:val="6EA6456E"/>
    <w:rsid w:val="723906FB"/>
    <w:rsid w:val="74517818"/>
    <w:rsid w:val="75840CDB"/>
    <w:rsid w:val="75FA50B5"/>
    <w:rsid w:val="77781E83"/>
    <w:rsid w:val="78062181"/>
    <w:rsid w:val="794965D5"/>
    <w:rsid w:val="79D61FC6"/>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14</Pages>
  <Words>3131</Words>
  <Characters>3399</Characters>
  <Lines>16</Lines>
  <Paragraphs>4</Paragraphs>
  <TotalTime>4</TotalTime>
  <ScaleCrop>false</ScaleCrop>
  <LinksUpToDate>false</LinksUpToDate>
  <CharactersWithSpaces>3453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2023-06-05T08:02:37Z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81634CCEC68B4B5AA4AA65B6F15E3B8B</vt:lpwstr>
  </property>
</Properties>
</file>