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eastAsia="zh-CN"/>
        </w:rPr>
        <w:t>科技局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640" w:lineRule="exact"/>
        <w:ind w:firstLine="1302" w:firstLineChars="407"/>
        <w:jc w:val="both"/>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拟订全县创新驱动发展战略以及科技发展。</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 xml:space="preserve"> </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2、统筹推进全县创新体系建设和科技体制改革。</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highlight w:val="none"/>
          <w14:textFill>
            <w14:solidFill>
              <w14:schemeClr w14:val="tx1"/>
            </w14:solidFill>
          </w14:textFill>
        </w:rPr>
        <w:t>建立统一的科学管理平台和科研项目资金协调、评估、监管机制。</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4、统筹科技创新体系建设，优化科技资源配置。</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5、负责全县引进国外人才和智力工作。</w:t>
      </w:r>
    </w:p>
    <w:p>
      <w:pPr>
        <w:numPr>
          <w:ilvl w:val="0"/>
          <w:numId w:val="0"/>
        </w:numPr>
        <w:spacing w:line="640" w:lineRule="exact"/>
        <w:ind w:firstLine="1280" w:firstLineChars="400"/>
        <w:jc w:val="both"/>
        <w:rPr>
          <w:rFonts w:hint="eastAsia" w:ascii="仿宋_GB2312" w:hAnsi="仿宋_GB2312" w:eastAsia="仿宋_GB2312" w:cs="仿宋_GB2312"/>
          <w:sz w:val="32"/>
          <w:szCs w:val="32"/>
        </w:rPr>
      </w:pPr>
      <w:r>
        <w:rPr>
          <w:rFonts w:hint="eastAsia" w:ascii="仿宋_GB2312" w:hAnsi="宋体" w:eastAsia="仿宋_GB2312" w:cs="宋体"/>
          <w:color w:val="000000" w:themeColor="text1"/>
          <w:kern w:val="0"/>
          <w:sz w:val="32"/>
          <w:szCs w:val="32"/>
          <w:highlight w:val="none"/>
          <w14:textFill>
            <w14:solidFill>
              <w14:schemeClr w14:val="tx1"/>
            </w14:solidFill>
          </w14:textFill>
        </w:rPr>
        <w:t>6、完成县委、县政府和州科学技术局交办的其他任务。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1280" w:firstLineChars="400"/>
        <w:jc w:val="left"/>
        <w:textAlignment w:val="auto"/>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1、办公室。2、农业企业科技股。3、综合科技股。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2021年度收入总计2203204.2元，支出总计2203204.2元，与2020年决算数相比，收入减少196451.12元，减少8.92%，支出减少196451.12元，减少8.92%。主要原因是</w:t>
      </w:r>
      <w:r>
        <w:rPr>
          <w:rFonts w:hint="eastAsia" w:ascii="仿宋_GB2312" w:hAnsi="仿宋_GB2312" w:eastAsia="仿宋_GB2312" w:cs="仿宋_GB2312"/>
          <w:color w:val="000000"/>
          <w:spacing w:val="0"/>
          <w:w w:val="100"/>
          <w:position w:val="0"/>
          <w:sz w:val="32"/>
          <w:szCs w:val="32"/>
          <w:lang w:eastAsia="zh-CN"/>
        </w:rPr>
        <w:t>项目和人员减少。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2164778.2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98.26</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38426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1.74</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减少196451.12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减少8.92%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项目和人员减少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减少196451.12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减少8.92%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项目和人员减少</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年度一般公共预算财政拨款支出2203204.2元，占本年支出的100%，较上年决算数减少196451.12元，减少8.92%。主要原因：</w:t>
      </w:r>
      <w:r>
        <w:rPr>
          <w:rFonts w:hint="eastAsia" w:ascii="仿宋_GB2312" w:hAnsi="仿宋_GB2312" w:eastAsia="仿宋_GB2312" w:cs="仿宋_GB2312"/>
          <w:color w:val="000000"/>
          <w:spacing w:val="0"/>
          <w:w w:val="100"/>
          <w:position w:val="0"/>
          <w:sz w:val="32"/>
          <w:szCs w:val="32"/>
          <w:lang w:eastAsia="zh-CN"/>
        </w:rPr>
        <w:t>项目和人员减少</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12235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0.55</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15833.24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工会经费减少。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w:t>
      </w:r>
      <w:r>
        <w:rPr>
          <w:rFonts w:hint="eastAsia" w:ascii="仿宋_GB2312" w:hAnsi="仿宋_GB2312" w:eastAsia="仿宋_GB2312" w:cs="仿宋_GB2312"/>
          <w:color w:val="000000"/>
          <w:spacing w:val="0"/>
          <w:w w:val="100"/>
          <w:position w:val="0"/>
          <w:sz w:val="32"/>
          <w:szCs w:val="32"/>
          <w:lang w:val="en-US" w:eastAsia="zh-CN"/>
        </w:rPr>
        <w:t>1862039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84.52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241350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项目减少</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207854.16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9.43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19498.58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单位人员减少</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88076.04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3.99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6277.74</w:t>
      </w:r>
      <w:r>
        <w:rPr>
          <w:rFonts w:hint="eastAsia" w:ascii="仿宋_GB2312" w:hAnsi="仿宋_GB2312" w:eastAsia="仿宋_GB2312" w:cs="仿宋_GB2312"/>
          <w:color w:val="000000"/>
          <w:spacing w:val="0"/>
          <w:w w:val="100"/>
          <w:position w:val="0"/>
          <w:sz w:val="32"/>
          <w:szCs w:val="32"/>
        </w:rPr>
        <w:t>元，主要原因</w:t>
      </w:r>
      <w:bookmarkStart w:id="20" w:name="_GoBack"/>
      <w:bookmarkEnd w:id="20"/>
      <w:r>
        <w:rPr>
          <w:rFonts w:hint="eastAsia" w:ascii="仿宋_GB2312" w:hAnsi="仿宋_GB2312" w:eastAsia="仿宋_GB2312" w:cs="仿宋_GB2312"/>
          <w:color w:val="000000"/>
          <w:spacing w:val="0"/>
          <w:w w:val="100"/>
          <w:position w:val="0"/>
          <w:sz w:val="32"/>
          <w:szCs w:val="32"/>
        </w:rPr>
        <w:t>是</w:t>
      </w:r>
      <w:r>
        <w:rPr>
          <w:rFonts w:hint="eastAsia" w:ascii="仿宋_GB2312" w:hAnsi="仿宋_GB2312" w:eastAsia="仿宋_GB2312" w:cs="仿宋_GB2312"/>
          <w:color w:val="000000"/>
          <w:spacing w:val="0"/>
          <w:w w:val="100"/>
          <w:position w:val="0"/>
          <w:sz w:val="32"/>
          <w:szCs w:val="32"/>
          <w:lang w:eastAsia="zh-CN"/>
        </w:rPr>
        <w:t>单位人员减少</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33000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1.50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2203204.2</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1995033.2</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19106.84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工资增加</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169745</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16066.04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天然气费调整</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169745</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办公费、商品服务等费用</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16066.04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10.45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64656.5</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45133</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19523.5</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办公耗材等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lang w:val="zh-TW" w:eastAsia="zh-CN"/>
        </w:rPr>
        <w:t>根据《临夏州州级预算绩效管理办法》，我部门（我单位）组织实施了2021年度预算绩效评价工作，共涉及资金</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lang w:val="zh-TW" w:eastAsia="zh-CN"/>
        </w:rPr>
        <w:t>元。</w:t>
      </w:r>
      <w:r>
        <w:rPr>
          <w:rFonts w:hint="default" w:ascii="仿宋_GB2312" w:hAnsi="仿宋_GB2312" w:eastAsia="仿宋_GB2312" w:cs="仿宋_GB2312"/>
          <w:color w:val="000000"/>
          <w:spacing w:val="0"/>
          <w:w w:val="100"/>
          <w:position w:val="0"/>
          <w:sz w:val="32"/>
          <w:szCs w:val="32"/>
          <w:lang w:val="en-US" w:eastAsia="zh-CN"/>
        </w:rPr>
        <w:t>收入</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default" w:ascii="仿宋_GB2312" w:hAnsi="仿宋_GB2312" w:eastAsia="仿宋_GB2312" w:cs="仿宋_GB2312"/>
          <w:color w:val="000000"/>
          <w:spacing w:val="0"/>
          <w:w w:val="100"/>
          <w:position w:val="0"/>
          <w:sz w:val="32"/>
          <w:szCs w:val="32"/>
          <w:lang w:val="en-US" w:eastAsia="zh-CN"/>
        </w:rPr>
        <w:t>：2021年年初预算数</w:t>
      </w:r>
      <w:r>
        <w:rPr>
          <w:rFonts w:hint="eastAsia" w:ascii="仿宋_GB2312" w:hAnsi="仿宋_GB2312" w:eastAsia="仿宋_GB2312" w:cs="仿宋_GB2312"/>
          <w:color w:val="000000"/>
          <w:spacing w:val="0"/>
          <w:w w:val="100"/>
          <w:position w:val="0"/>
          <w:sz w:val="32"/>
          <w:szCs w:val="32"/>
          <w:lang w:val="en-US" w:eastAsia="zh-CN"/>
        </w:rPr>
        <w:t>2203204.20</w:t>
      </w:r>
      <w:r>
        <w:rPr>
          <w:rFonts w:hint="default" w:ascii="仿宋_GB2312" w:hAnsi="仿宋_GB2312" w:eastAsia="仿宋_GB2312" w:cs="仿宋_GB2312"/>
          <w:color w:val="000000"/>
          <w:spacing w:val="0"/>
          <w:w w:val="100"/>
          <w:position w:val="0"/>
          <w:sz w:val="32"/>
          <w:szCs w:val="32"/>
          <w:lang w:val="en-US" w:eastAsia="zh-CN"/>
        </w:rPr>
        <w:t>万元，其中：一般公共预算财政拨款</w:t>
      </w:r>
      <w:r>
        <w:rPr>
          <w:rFonts w:hint="eastAsia" w:ascii="仿宋_GB2312" w:hAnsi="仿宋_GB2312" w:eastAsia="仿宋_GB2312" w:cs="仿宋_GB2312"/>
          <w:color w:val="000000"/>
          <w:spacing w:val="0"/>
          <w:w w:val="100"/>
          <w:position w:val="0"/>
          <w:sz w:val="32"/>
          <w:szCs w:val="32"/>
          <w:lang w:val="en-US" w:eastAsia="zh-CN"/>
        </w:rPr>
        <w:t>2203204.20</w:t>
      </w:r>
      <w:r>
        <w:rPr>
          <w:rFonts w:hint="default"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val="en-US" w:eastAsia="zh-CN"/>
        </w:rPr>
        <w:t>其他</w:t>
      </w:r>
      <w:r>
        <w:rPr>
          <w:rFonts w:hint="default" w:ascii="仿宋_GB2312" w:hAnsi="仿宋_GB2312" w:eastAsia="仿宋_GB2312" w:cs="仿宋_GB2312"/>
          <w:color w:val="000000"/>
          <w:spacing w:val="0"/>
          <w:w w:val="100"/>
          <w:position w:val="0"/>
          <w:sz w:val="32"/>
          <w:szCs w:val="32"/>
          <w:lang w:val="en-US" w:eastAsia="zh-CN"/>
        </w:rPr>
        <w:t>收入</w:t>
      </w:r>
      <w:r>
        <w:rPr>
          <w:rFonts w:hint="eastAsia" w:ascii="仿宋_GB2312" w:hAnsi="仿宋_GB2312" w:eastAsia="仿宋_GB2312" w:cs="仿宋_GB2312"/>
          <w:color w:val="000000"/>
          <w:spacing w:val="0"/>
          <w:w w:val="100"/>
          <w:position w:val="0"/>
          <w:sz w:val="32"/>
          <w:szCs w:val="32"/>
          <w:lang w:val="en-US" w:eastAsia="zh-CN"/>
        </w:rPr>
        <w:t>0</w:t>
      </w:r>
      <w:r>
        <w:rPr>
          <w:rFonts w:hint="default"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lang w:val="en-US" w:eastAsia="zh-CN"/>
        </w:rPr>
        <w:t>实际收入2203204.20</w:t>
      </w:r>
      <w:r>
        <w:rPr>
          <w:rFonts w:hint="default" w:ascii="仿宋_GB2312" w:hAnsi="仿宋_GB2312" w:eastAsia="仿宋_GB2312" w:cs="仿宋_GB2312"/>
          <w:color w:val="000000"/>
          <w:spacing w:val="0"/>
          <w:w w:val="100"/>
          <w:position w:val="0"/>
          <w:sz w:val="32"/>
          <w:szCs w:val="32"/>
          <w:lang w:val="en-US" w:eastAsia="zh-CN"/>
        </w:rPr>
        <w:t>万元，其中：一般公共预算财政拨款</w:t>
      </w:r>
      <w:r>
        <w:rPr>
          <w:rFonts w:hint="eastAsia" w:ascii="仿宋_GB2312" w:hAnsi="仿宋_GB2312" w:eastAsia="仿宋_GB2312" w:cs="仿宋_GB2312"/>
          <w:color w:val="000000"/>
          <w:spacing w:val="0"/>
          <w:w w:val="100"/>
          <w:position w:val="0"/>
          <w:sz w:val="32"/>
          <w:szCs w:val="32"/>
          <w:lang w:val="en-US" w:eastAsia="zh-CN"/>
        </w:rPr>
        <w:t>2203204.20</w:t>
      </w:r>
      <w:r>
        <w:rPr>
          <w:rFonts w:hint="default"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val="en-US" w:eastAsia="zh-CN"/>
        </w:rPr>
        <w:t>其他</w:t>
      </w:r>
      <w:r>
        <w:rPr>
          <w:rFonts w:hint="default" w:ascii="仿宋_GB2312" w:hAnsi="仿宋_GB2312" w:eastAsia="仿宋_GB2312" w:cs="仿宋_GB2312"/>
          <w:color w:val="000000"/>
          <w:spacing w:val="0"/>
          <w:w w:val="100"/>
          <w:position w:val="0"/>
          <w:sz w:val="32"/>
          <w:szCs w:val="32"/>
          <w:lang w:val="en-US" w:eastAsia="zh-CN"/>
        </w:rPr>
        <w:t>收入</w:t>
      </w:r>
      <w:r>
        <w:rPr>
          <w:rFonts w:hint="eastAsia" w:ascii="仿宋_GB2312" w:hAnsi="仿宋_GB2312" w:eastAsia="仿宋_GB2312" w:cs="仿宋_GB2312"/>
          <w:color w:val="000000"/>
          <w:spacing w:val="0"/>
          <w:w w:val="100"/>
          <w:position w:val="0"/>
          <w:sz w:val="32"/>
          <w:szCs w:val="32"/>
          <w:lang w:val="en-US" w:eastAsia="zh-CN"/>
        </w:rPr>
        <w:t>0</w:t>
      </w:r>
      <w:r>
        <w:rPr>
          <w:rFonts w:hint="default" w:ascii="仿宋_GB2312" w:hAnsi="仿宋_GB2312" w:eastAsia="仿宋_GB2312" w:cs="仿宋_GB2312"/>
          <w:color w:val="000000"/>
          <w:spacing w:val="0"/>
          <w:w w:val="100"/>
          <w:position w:val="0"/>
          <w:sz w:val="32"/>
          <w:szCs w:val="32"/>
          <w:lang w:val="en-US" w:eastAsia="zh-CN"/>
        </w:rPr>
        <w:t>元。预算</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收入完成率100%</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支出：2021年年初预算数</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万元，其中：一般公共预算财政拨款</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其他</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收入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实际收入2203204.20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万元，其中：一般公共预算财政拨款</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其他</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收入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元。预算收入完成率100%</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EF194A5"/>
    <w:multiLevelType w:val="singleLevel"/>
    <w:tmpl w:val="5EF194A5"/>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ZTk5ODhjNGUyYjE1NTg0ZDhkM2MyYjQwOTIyN2Q5YmUifQ=="/>
  </w:docVars>
  <w:rsids>
    <w:rsidRoot w:val="00000000"/>
    <w:rsid w:val="02806ABF"/>
    <w:rsid w:val="0511788F"/>
    <w:rsid w:val="06AA1511"/>
    <w:rsid w:val="08726EFB"/>
    <w:rsid w:val="0A363100"/>
    <w:rsid w:val="0A4C6688"/>
    <w:rsid w:val="125175D9"/>
    <w:rsid w:val="12FA0552"/>
    <w:rsid w:val="1739327C"/>
    <w:rsid w:val="18702535"/>
    <w:rsid w:val="19BA4320"/>
    <w:rsid w:val="1B205130"/>
    <w:rsid w:val="1E712589"/>
    <w:rsid w:val="1F523B54"/>
    <w:rsid w:val="21E357AE"/>
    <w:rsid w:val="25FD0C5D"/>
    <w:rsid w:val="27D221D8"/>
    <w:rsid w:val="283B6A1D"/>
    <w:rsid w:val="29C05E6C"/>
    <w:rsid w:val="2A081E75"/>
    <w:rsid w:val="2A3176C3"/>
    <w:rsid w:val="2F990904"/>
    <w:rsid w:val="32A40B34"/>
    <w:rsid w:val="339F1FC9"/>
    <w:rsid w:val="398F777A"/>
    <w:rsid w:val="39B03DA3"/>
    <w:rsid w:val="39F46F0A"/>
    <w:rsid w:val="3ABD5DEE"/>
    <w:rsid w:val="3BD710AD"/>
    <w:rsid w:val="41670196"/>
    <w:rsid w:val="41AE074A"/>
    <w:rsid w:val="42736B67"/>
    <w:rsid w:val="43D445BB"/>
    <w:rsid w:val="44460A19"/>
    <w:rsid w:val="45612D08"/>
    <w:rsid w:val="4B60103E"/>
    <w:rsid w:val="4F1428B3"/>
    <w:rsid w:val="51D75194"/>
    <w:rsid w:val="529F738A"/>
    <w:rsid w:val="537062B7"/>
    <w:rsid w:val="57D535F7"/>
    <w:rsid w:val="58806626"/>
    <w:rsid w:val="5AF77AEE"/>
    <w:rsid w:val="5DBE4D49"/>
    <w:rsid w:val="60D720E0"/>
    <w:rsid w:val="62922058"/>
    <w:rsid w:val="62BB4794"/>
    <w:rsid w:val="62D20147"/>
    <w:rsid w:val="66CF565B"/>
    <w:rsid w:val="67D2252E"/>
    <w:rsid w:val="6EE051B2"/>
    <w:rsid w:val="720E4E8D"/>
    <w:rsid w:val="726D3C91"/>
    <w:rsid w:val="72831F2B"/>
    <w:rsid w:val="745D61E5"/>
    <w:rsid w:val="767F3440"/>
    <w:rsid w:val="785A5C57"/>
    <w:rsid w:val="794C38BE"/>
    <w:rsid w:val="7C584EE5"/>
    <w:rsid w:val="7CF44998"/>
    <w:rsid w:val="7F2D0EB1"/>
    <w:rsid w:val="7F540D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line="480" w:lineRule="auto"/>
      <w:ind w:left="420" w:leftChars="200"/>
      <w:jc w:val="both"/>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autoRedefine/>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autoRedefine/>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autoRedefine/>
    <w:qFormat/>
    <w:uiPriority w:val="0"/>
  </w:style>
  <w:style w:type="character" w:customStyle="1" w:styleId="24">
    <w:name w:val="zwxxgk_bnt61"/>
    <w:basedOn w:val="5"/>
    <w:autoRedefine/>
    <w:qFormat/>
    <w:uiPriority w:val="0"/>
  </w:style>
  <w:style w:type="character" w:customStyle="1" w:styleId="25">
    <w:name w:val="zwxxgk_bnt62"/>
    <w:basedOn w:val="5"/>
    <w:autoRedefine/>
    <w:qFormat/>
    <w:uiPriority w:val="0"/>
  </w:style>
  <w:style w:type="character" w:customStyle="1" w:styleId="26">
    <w:name w:val="zwxxgk_bnt5"/>
    <w:basedOn w:val="5"/>
    <w:autoRedefine/>
    <w:qFormat/>
    <w:uiPriority w:val="0"/>
  </w:style>
  <w:style w:type="character" w:customStyle="1" w:styleId="27">
    <w:name w:val="zwxxgk_bnt51"/>
    <w:basedOn w:val="5"/>
    <w:autoRedefine/>
    <w:qFormat/>
    <w:uiPriority w:val="0"/>
  </w:style>
  <w:style w:type="character" w:customStyle="1" w:styleId="28">
    <w:name w:val="zwxxgk_bnt52"/>
    <w:basedOn w:val="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3</TotalTime>
  <ScaleCrop>false</ScaleCrop>
  <LinksUpToDate>false</LinksUpToDate>
  <CharactersWithSpaces>8148</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winevr</cp:lastModifiedBy>
  <cp:lastPrinted>2022-09-13T09:11:00Z</cp:lastPrinted>
  <dcterms:modified xsi:type="dcterms:W3CDTF">2024-03-12T08:47:15Z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3FB965A942B84C0B8C0D4DECFF396933</vt:lpwstr>
  </property>
</Properties>
</file>