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5"/>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临夏州东乡族自治县春台乡人民政府</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widowControl/>
        <w:suppressLineNumbers w:val="0"/>
        <w:ind w:firstLine="680" w:firstLineChars="200"/>
        <w:jc w:val="left"/>
      </w:pPr>
      <w:bookmarkStart w:id="16" w:name="bookmark24"/>
      <w:r>
        <w:rPr>
          <w:rFonts w:ascii="仿宋" w:hAnsi="仿宋" w:eastAsia="仿宋" w:cs="仿宋"/>
          <w:color w:val="000000"/>
          <w:kern w:val="0"/>
          <w:sz w:val="34"/>
          <w:szCs w:val="34"/>
          <w:lang w:val="en-US" w:eastAsia="zh-CN" w:bidi="ar"/>
        </w:rPr>
        <w:t>东乡族自治县自然资源局（简称县自然资源局）是东乡县政府工作部门。县不动产登记管</w:t>
      </w:r>
      <w:r>
        <w:rPr>
          <w:rFonts w:hint="eastAsia" w:ascii="仿宋" w:hAnsi="仿宋" w:eastAsia="仿宋" w:cs="仿宋"/>
          <w:color w:val="000000"/>
          <w:kern w:val="0"/>
          <w:sz w:val="34"/>
          <w:szCs w:val="34"/>
          <w:lang w:val="en-US" w:eastAsia="zh-CN" w:bidi="ar"/>
        </w:rPr>
        <w:t xml:space="preserve">理局。县自然资源局贯彻落实党中央和省、州及县委关于自然资源工作的方针政策和决策部署 ，在履行职责过程中坚持和加强党对自然资源工作的集中统一领导。履行全民所有土地、矿产 、湿地、水等自然资源资产所有者职责和所有国土空间用途管制职责；拟定自然资源和国土空 间规划及测绘等地方性文件办法和县政府规章草案并监督检查执行情况；负责全县自然资源调 查监测评价、统一确权登记、自然资源资产有偿使用、自然资源的合理开发利用、建立全县空 间规划体系并监督实施、统筹全县国土空间生态修复、组织全县实施最严格的耕地保护制度、 管理全县地质勘查行业和地质工作、落实综合防灾减灾规划相关要求、组织编制地质灾害防治 规划和防护标准并指导实施、矿产资源管理、测绘地理信息管理、推动全县自然资源领域科技 发展，根据授权，对乡镇政府落实自然资源和国土空间规划的重大方针政策、决策部署及法律法规执行情况进行监督检查； </w:t>
      </w:r>
      <w:r>
        <w:rPr>
          <w:rFonts w:ascii="仿宋" w:hAnsi="仿宋" w:eastAsia="仿宋" w:cs="仿宋"/>
          <w:color w:val="000000"/>
          <w:kern w:val="0"/>
          <w:sz w:val="34"/>
          <w:szCs w:val="34"/>
          <w:lang w:val="en-US" w:eastAsia="zh-CN" w:bidi="ar"/>
        </w:rPr>
        <w:t>贯彻落实党中央、省州及县委关于林业与草原工作的方针政策和决策部署；贯彻执行国家</w:t>
      </w:r>
      <w:r>
        <w:rPr>
          <w:rFonts w:hint="eastAsia" w:ascii="仿宋" w:hAnsi="仿宋" w:eastAsia="仿宋" w:cs="仿宋"/>
          <w:color w:val="000000"/>
          <w:kern w:val="0"/>
          <w:sz w:val="34"/>
          <w:szCs w:val="34"/>
          <w:lang w:val="en-US" w:eastAsia="zh-CN" w:bidi="ar"/>
        </w:rPr>
        <w:t>有关林业与草原的方针、政策和法律法规、承担林业与草原发展建设、保护提供技术支持和服务保障等事务性工作。</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80" w:firstLineChars="200"/>
        <w:jc w:val="left"/>
        <w:textAlignment w:val="auto"/>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东乡族自治县自然资源局共有编制97名，其中行政编制11名，年末实有人数101名；</w:t>
      </w:r>
      <w:r>
        <w:rPr>
          <w:rFonts w:ascii="仿宋" w:hAnsi="仿宋" w:eastAsia="仿宋" w:cs="仿宋"/>
          <w:color w:val="000000"/>
          <w:kern w:val="0"/>
          <w:sz w:val="34"/>
          <w:szCs w:val="34"/>
          <w:lang w:val="en-US" w:eastAsia="zh-CN" w:bidi="ar"/>
        </w:rPr>
        <w:t xml:space="preserve">下设综合办公室、空间规划股、用途管制股、生态修复股、自然资源测绘调查和确权股、 </w:t>
      </w:r>
      <w:r>
        <w:rPr>
          <w:rFonts w:hint="eastAsia" w:ascii="仿宋" w:hAnsi="仿宋" w:eastAsia="仿宋" w:cs="仿宋"/>
          <w:color w:val="000000"/>
          <w:kern w:val="0"/>
          <w:sz w:val="34"/>
          <w:szCs w:val="34"/>
          <w:lang w:val="en-US" w:eastAsia="zh-CN" w:bidi="ar"/>
        </w:rPr>
        <w:t>自然资源监督管护股。</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556250" cy="6572250"/>
            <wp:effectExtent l="0" t="0" r="6350" b="0"/>
            <wp:docPr id="4" name="图片 4" descr="收入支出决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收入支出决算总表"/>
                    <pic:cNvPicPr>
                      <a:picLocks noChangeAspect="1"/>
                    </pic:cNvPicPr>
                  </pic:nvPicPr>
                  <pic:blipFill>
                    <a:blip r:embed="rId8"/>
                    <a:stretch>
                      <a:fillRect/>
                    </a:stretch>
                  </pic:blipFill>
                  <pic:spPr>
                    <a:xfrm>
                      <a:off x="0" y="0"/>
                      <a:ext cx="5556250" cy="6572250"/>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721350" cy="7776845"/>
            <wp:effectExtent l="0" t="0" r="12700" b="14605"/>
            <wp:docPr id="3" name="图片 3" descr="收入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收入决算表"/>
                    <pic:cNvPicPr>
                      <a:picLocks noChangeAspect="1"/>
                    </pic:cNvPicPr>
                  </pic:nvPicPr>
                  <pic:blipFill>
                    <a:blip r:embed="rId9"/>
                    <a:stretch>
                      <a:fillRect/>
                    </a:stretch>
                  </pic:blipFill>
                  <pic:spPr>
                    <a:xfrm>
                      <a:off x="0" y="0"/>
                      <a:ext cx="5721350" cy="777684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0035" cy="8147685"/>
            <wp:effectExtent l="0" t="0" r="12065" b="5715"/>
            <wp:docPr id="5" name="图片 5" descr="支出决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支出决算表"/>
                    <pic:cNvPicPr>
                      <a:picLocks noChangeAspect="1"/>
                    </pic:cNvPicPr>
                  </pic:nvPicPr>
                  <pic:blipFill>
                    <a:blip r:embed="rId10"/>
                    <a:stretch>
                      <a:fillRect/>
                    </a:stretch>
                  </pic:blipFill>
                  <pic:spPr>
                    <a:xfrm>
                      <a:off x="0" y="0"/>
                      <a:ext cx="5360035" cy="814768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4955" cy="7682230"/>
            <wp:effectExtent l="0" t="0" r="17145" b="13970"/>
            <wp:docPr id="6" name="图片 6" descr="财政拨款收入支出决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财政拨款收入支出决算总表"/>
                    <pic:cNvPicPr>
                      <a:picLocks noChangeAspect="1"/>
                    </pic:cNvPicPr>
                  </pic:nvPicPr>
                  <pic:blipFill>
                    <a:blip r:embed="rId11"/>
                    <a:stretch>
                      <a:fillRect/>
                    </a:stretch>
                  </pic:blipFill>
                  <pic:spPr>
                    <a:xfrm>
                      <a:off x="0" y="0"/>
                      <a:ext cx="5354955" cy="7682230"/>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eastAsia="宋体"/>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7495" cy="7362190"/>
            <wp:effectExtent l="0" t="0" r="14605" b="10160"/>
            <wp:docPr id="7" name="图片 7" descr="一般公共预算支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一般公共预算支出"/>
                    <pic:cNvPicPr>
                      <a:picLocks noChangeAspect="1"/>
                    </pic:cNvPicPr>
                  </pic:nvPicPr>
                  <pic:blipFill>
                    <a:blip r:embed="rId12"/>
                    <a:stretch>
                      <a:fillRect/>
                    </a:stretch>
                  </pic:blipFill>
                  <pic:spPr>
                    <a:xfrm>
                      <a:off x="0" y="0"/>
                      <a:ext cx="5357495" cy="7362190"/>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6353810" cy="7581265"/>
            <wp:effectExtent l="0" t="0" r="8890" b="635"/>
            <wp:docPr id="10" name="图片 10" descr="明细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明细表"/>
                    <pic:cNvPicPr>
                      <a:picLocks noChangeAspect="1"/>
                    </pic:cNvPicPr>
                  </pic:nvPicPr>
                  <pic:blipFill>
                    <a:blip r:embed="rId13"/>
                    <a:stretch>
                      <a:fillRect/>
                    </a:stretch>
                  </pic:blipFill>
                  <pic:spPr>
                    <a:xfrm>
                      <a:off x="0" y="0"/>
                      <a:ext cx="6353810" cy="758126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1940" cy="1458595"/>
            <wp:effectExtent l="0" t="0" r="10160" b="8255"/>
            <wp:docPr id="11" name="图片 11" descr="三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三公"/>
                    <pic:cNvPicPr>
                      <a:picLocks noChangeAspect="1"/>
                    </pic:cNvPicPr>
                  </pic:nvPicPr>
                  <pic:blipFill>
                    <a:blip r:embed="rId14"/>
                    <a:stretch>
                      <a:fillRect/>
                    </a:stretch>
                  </pic:blipFill>
                  <pic:spPr>
                    <a:xfrm>
                      <a:off x="0" y="0"/>
                      <a:ext cx="5361940" cy="145859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7495" cy="1894205"/>
            <wp:effectExtent l="0" t="0" r="14605" b="10795"/>
            <wp:docPr id="12" name="图片 12" descr="政府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政府性"/>
                    <pic:cNvPicPr>
                      <a:picLocks noChangeAspect="1"/>
                    </pic:cNvPicPr>
                  </pic:nvPicPr>
                  <pic:blipFill>
                    <a:blip r:embed="rId15"/>
                    <a:stretch>
                      <a:fillRect/>
                    </a:stretch>
                  </pic:blipFill>
                  <pic:spPr>
                    <a:xfrm>
                      <a:off x="0" y="0"/>
                      <a:ext cx="5357495" cy="189420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8765" cy="1936115"/>
            <wp:effectExtent l="0" t="0" r="13335" b="6985"/>
            <wp:docPr id="13" name="图片 13" descr="国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有"/>
                    <pic:cNvPicPr>
                      <a:picLocks noChangeAspect="1"/>
                    </pic:cNvPicPr>
                  </pic:nvPicPr>
                  <pic:blipFill>
                    <a:blip r:embed="rId16"/>
                    <a:stretch>
                      <a:fillRect/>
                    </a:stretch>
                  </pic:blipFill>
                  <pic:spPr>
                    <a:xfrm>
                      <a:off x="0" y="0"/>
                      <a:ext cx="5358765" cy="1936115"/>
                    </a:xfrm>
                    <a:prstGeom prst="rect">
                      <a:avLst/>
                    </a:prstGeom>
                  </pic:spPr>
                </pic:pic>
              </a:graphicData>
            </a:graphic>
          </wp:inline>
        </w:drawing>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2021年度收入总计325554679.63元，支出总计325554679.63元，与2020年决算数相比，收入减少35326858.46元，减少9.7%，支出减少35326858.46元，减少9.7%。</w:t>
      </w:r>
      <w:r>
        <w:rPr>
          <w:rFonts w:hint="eastAsia" w:ascii="仿宋_GB2312" w:eastAsia="仿宋_GB2312"/>
          <w:sz w:val="30"/>
          <w:szCs w:val="30"/>
        </w:rPr>
        <w:t>主要原因是</w:t>
      </w:r>
      <w:r>
        <w:rPr>
          <w:rFonts w:hint="eastAsia" w:ascii="仿宋_GB2312" w:eastAsia="仿宋_GB2312"/>
          <w:sz w:val="30"/>
          <w:szCs w:val="30"/>
          <w:lang w:eastAsia="zh-CN"/>
        </w:rPr>
        <w:t>项目减少</w:t>
      </w:r>
      <w:r>
        <w:rPr>
          <w:rFonts w:hint="eastAsia" w:ascii="仿宋_GB2312" w:eastAsia="仿宋_GB2312"/>
          <w:sz w:val="30"/>
          <w:szCs w:val="30"/>
          <w:lang w:val="en-US" w:eastAsia="zh-CN"/>
        </w:rPr>
        <w:t>，收入支出相应减少</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bidi="en-US"/>
        </w:rPr>
        <w:t>300939053.95</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87358969.27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29.03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政府性基金预算财政拨款收入120657708.86</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40.1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其他收入92922375.82元，占30.87%</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288650799.66</w:t>
      </w:r>
      <w:r>
        <w:rPr>
          <w:rFonts w:hint="eastAsia" w:ascii="仿宋_GB2312" w:hAnsi="仿宋_GB2312" w:eastAsia="仿宋_GB2312" w:cs="仿宋_GB2312"/>
          <w:color w:val="000000"/>
          <w:spacing w:val="0"/>
          <w:w w:val="100"/>
          <w:position w:val="0"/>
          <w:sz w:val="32"/>
          <w:szCs w:val="32"/>
        </w:rPr>
        <w:t>元，其中：</w:t>
      </w:r>
      <w:r>
        <w:rPr>
          <w:rFonts w:hint="eastAsia" w:ascii="仿宋_GB2312" w:hAnsi="仿宋_GB2312" w:eastAsia="仿宋_GB2312" w:cs="仿宋_GB2312"/>
          <w:color w:val="000000"/>
          <w:spacing w:val="0"/>
          <w:w w:val="100"/>
          <w:position w:val="0"/>
          <w:sz w:val="32"/>
          <w:szCs w:val="32"/>
          <w:lang w:eastAsia="zh-CN"/>
        </w:rPr>
        <w:t>一般公共服务</w:t>
      </w:r>
      <w:r>
        <w:rPr>
          <w:rFonts w:hint="eastAsia" w:ascii="仿宋_GB2312" w:hAnsi="仿宋_GB2312" w:eastAsia="仿宋_GB2312" w:cs="仿宋_GB2312"/>
          <w:color w:val="000000"/>
          <w:spacing w:val="0"/>
          <w:w w:val="100"/>
          <w:position w:val="0"/>
          <w:sz w:val="32"/>
          <w:szCs w:val="32"/>
        </w:rPr>
        <w:t>支出</w:t>
      </w:r>
      <w:r>
        <w:rPr>
          <w:rFonts w:hint="eastAsia" w:ascii="仿宋_GB2312" w:hAnsi="仿宋_GB2312" w:eastAsia="仿宋_GB2312" w:cs="仿宋_GB2312"/>
          <w:color w:val="000000"/>
          <w:spacing w:val="0"/>
          <w:w w:val="100"/>
          <w:position w:val="0"/>
          <w:sz w:val="32"/>
          <w:szCs w:val="32"/>
          <w:lang w:val="en-US" w:eastAsia="zh-CN" w:bidi="en-US"/>
        </w:rPr>
        <w:t>104226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0.03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社会保障和就业支出1115159.01元，占0.39%；</w:t>
      </w:r>
      <w:r>
        <w:rPr>
          <w:rFonts w:hint="eastAsia" w:ascii="仿宋_GB2312" w:hAnsi="仿宋_GB2312" w:eastAsia="仿宋_GB2312" w:cs="仿宋_GB2312"/>
          <w:color w:val="000000"/>
          <w:spacing w:val="0"/>
          <w:w w:val="100"/>
          <w:position w:val="0"/>
          <w:sz w:val="32"/>
          <w:szCs w:val="32"/>
        </w:rPr>
        <w:t>卫生健康支出支出</w:t>
      </w:r>
      <w:r>
        <w:rPr>
          <w:rFonts w:hint="eastAsia" w:ascii="仿宋_GB2312" w:hAnsi="仿宋_GB2312" w:eastAsia="仿宋_GB2312" w:cs="仿宋_GB2312"/>
          <w:color w:val="000000"/>
          <w:spacing w:val="0"/>
          <w:w w:val="100"/>
          <w:position w:val="0"/>
          <w:sz w:val="32"/>
          <w:szCs w:val="32"/>
          <w:lang w:val="en-US" w:eastAsia="zh-CN"/>
        </w:rPr>
        <w:t>458617.8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0.16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城乡社区支出192592311.21元，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66.72</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农林水支出支出</w:t>
      </w:r>
      <w:r>
        <w:rPr>
          <w:rFonts w:hint="eastAsia" w:ascii="仿宋_GB2312" w:hAnsi="仿宋_GB2312" w:eastAsia="仿宋_GB2312" w:cs="仿宋_GB2312"/>
          <w:color w:val="000000"/>
          <w:spacing w:val="0"/>
          <w:w w:val="100"/>
          <w:position w:val="0"/>
          <w:sz w:val="32"/>
          <w:szCs w:val="32"/>
          <w:lang w:val="en-US" w:eastAsia="zh-CN" w:bidi="en-US"/>
        </w:rPr>
        <w:t>30323710.88元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10.5</w:t>
      </w:r>
      <w:r>
        <w:rPr>
          <w:rFonts w:hint="eastAsia" w:ascii="仿宋_GB2312" w:hAnsi="仿宋_GB2312" w:eastAsia="仿宋_GB2312" w:cs="仿宋_GB2312"/>
          <w:color w:val="000000"/>
          <w:spacing w:val="0"/>
          <w:w w:val="100"/>
          <w:position w:val="0"/>
          <w:sz w:val="32"/>
          <w:szCs w:val="32"/>
        </w:rPr>
        <w:t>%；自然资源海洋气象等支出50079647.06</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17.35</w:t>
      </w: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sz w:val="32"/>
          <w:szCs w:val="32"/>
          <w:lang w:eastAsia="zh-CN"/>
        </w:rPr>
        <w:t>13977127.7</w:t>
      </w:r>
      <w:r>
        <w:rPr>
          <w:rFonts w:hint="eastAsia" w:ascii="仿宋_GB2312" w:hAnsi="仿宋_GB2312" w:eastAsia="仿宋_GB2312" w:cs="仿宋_GB2312"/>
          <w:color w:val="000000"/>
          <w:spacing w:val="0"/>
          <w:w w:val="100"/>
          <w:position w:val="0"/>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4.84</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208016678.13</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20517173.34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减少8.29%。主要原因是专项费用和人员经费减少，收入相应减少。较年初预算数增加63624987.58元，增加20.8%。主要原因是专项费用和人员经</w:t>
      </w:r>
      <w:r>
        <w:rPr>
          <w:rFonts w:hint="eastAsia" w:ascii="仿宋_GB2312" w:eastAsia="仿宋_GB2312"/>
          <w:sz w:val="30"/>
          <w:szCs w:val="30"/>
          <w:lang w:eastAsia="zh-CN"/>
        </w:rPr>
        <w:t>费</w:t>
      </w:r>
      <w:r>
        <w:rPr>
          <w:rFonts w:hint="eastAsia" w:ascii="仿宋_GB2312" w:eastAsia="仿宋_GB2312"/>
          <w:sz w:val="30"/>
          <w:szCs w:val="30"/>
          <w:lang w:val="en-US" w:eastAsia="zh-CN"/>
        </w:rPr>
        <w:t>增加，收入支出相应增加</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189283541.75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44891851.2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31.1</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增加，支出相应增加。</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年度一般公共预算财政拨款支出87434071.89元，占本年支出的 100%，较上年决算数增加</w:t>
      </w:r>
      <w:r>
        <w:rPr>
          <w:rFonts w:hint="eastAsia" w:ascii="仿宋_GB2312" w:hAnsi="仿宋_GB2312" w:eastAsia="仿宋_GB2312" w:cs="仿宋_GB2312"/>
          <w:color w:val="000000"/>
          <w:spacing w:val="0"/>
          <w:w w:val="100"/>
          <w:position w:val="0"/>
          <w:sz w:val="32"/>
          <w:szCs w:val="32"/>
          <w:lang w:val="en-US" w:eastAsia="zh-CN" w:bidi="en-US"/>
        </w:rPr>
        <w:t>1885182.35</w:t>
      </w:r>
      <w:r>
        <w:rPr>
          <w:rFonts w:hint="eastAsia" w:ascii="仿宋_GB2312" w:hAnsi="仿宋_GB2312" w:eastAsia="仿宋_GB2312" w:cs="仿宋_GB2312"/>
          <w:color w:val="000000"/>
          <w:spacing w:val="0"/>
          <w:w w:val="100"/>
          <w:position w:val="0"/>
          <w:sz w:val="32"/>
          <w:szCs w:val="32"/>
          <w:lang w:val="en-US" w:eastAsia="zh-CN"/>
        </w:rPr>
        <w:t>元，增长22.11%。</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增加，支出相应增加。</w:t>
      </w:r>
    </w:p>
    <w:p>
      <w:pPr>
        <w:pStyle w:val="15"/>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5"/>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104226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0.12</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191670.48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人员减少；</w:t>
      </w:r>
    </w:p>
    <w:p>
      <w:pPr>
        <w:pStyle w:val="23"/>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right="0" w:firstLine="745" w:firstLineChars="23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1115159.01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1.26</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减少</w:t>
      </w:r>
      <w:r>
        <w:rPr>
          <w:rFonts w:hint="eastAsia" w:ascii="仿宋_GB2312" w:eastAsia="仿宋_GB2312"/>
          <w:color w:val="000000" w:themeColor="text1"/>
          <w:sz w:val="30"/>
          <w:szCs w:val="30"/>
          <w:lang w:val="en-US" w:eastAsia="zh-CN"/>
          <w14:textFill>
            <w14:solidFill>
              <w14:schemeClr w14:val="tx1"/>
            </w14:solidFill>
          </w14:textFill>
        </w:rPr>
        <w:t>1281602.48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年中</w:t>
      </w:r>
      <w:r>
        <w:rPr>
          <w:rFonts w:hint="eastAsia" w:ascii="仿宋_GB2312" w:eastAsia="仿宋_GB2312"/>
          <w:color w:val="000000" w:themeColor="text1"/>
          <w:sz w:val="30"/>
          <w:szCs w:val="30"/>
          <w:lang w:val="en-US" w:eastAsia="zh-CN"/>
          <w14:textFill>
            <w14:solidFill>
              <w14:schemeClr w14:val="tx1"/>
            </w14:solidFill>
          </w14:textFill>
        </w:rPr>
        <w:t>人员减少</w:t>
      </w:r>
      <w:r>
        <w:rPr>
          <w:rFonts w:hint="eastAsia" w:ascii="仿宋_GB2312" w:hAnsi="仿宋_GB2312" w:eastAsia="仿宋_GB2312" w:cs="仿宋_GB2312"/>
          <w:color w:val="000000"/>
          <w:spacing w:val="0"/>
          <w:w w:val="100"/>
          <w:position w:val="0"/>
          <w:sz w:val="32"/>
          <w:szCs w:val="32"/>
        </w:rPr>
        <w:t>;</w:t>
      </w:r>
    </w:p>
    <w:p>
      <w:pPr>
        <w:pStyle w:val="23"/>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right="0" w:firstLine="745" w:firstLineChars="23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卫生健康</w:t>
      </w:r>
      <w:r>
        <w:rPr>
          <w:rFonts w:hint="eastAsia" w:ascii="仿宋_GB2312" w:hAnsi="仿宋_GB2312" w:eastAsia="仿宋_GB2312" w:cs="仿宋_GB2312"/>
          <w:color w:val="000000"/>
          <w:spacing w:val="0"/>
          <w:w w:val="100"/>
          <w:position w:val="0"/>
          <w:sz w:val="32"/>
          <w:szCs w:val="32"/>
        </w:rPr>
        <w:t>支出</w:t>
      </w:r>
      <w:r>
        <w:rPr>
          <w:rFonts w:hint="eastAsia" w:ascii="仿宋_GB2312" w:hAnsi="仿宋_GB2312" w:eastAsia="仿宋_GB2312" w:cs="仿宋_GB2312"/>
          <w:color w:val="000000"/>
          <w:spacing w:val="0"/>
          <w:w w:val="100"/>
          <w:position w:val="0"/>
          <w:sz w:val="32"/>
          <w:szCs w:val="32"/>
          <w:lang w:val="en-US" w:eastAsia="zh-CN"/>
        </w:rPr>
        <w:t>458617.8元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0.55</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529181.76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人员增加</w:t>
      </w:r>
      <w:r>
        <w:rPr>
          <w:rFonts w:hint="eastAsia" w:ascii="仿宋_GB2312" w:hAnsi="仿宋_GB2312" w:eastAsia="仿宋_GB2312" w:cs="仿宋_GB2312"/>
          <w:color w:val="000000"/>
          <w:spacing w:val="0"/>
          <w:w w:val="100"/>
          <w:position w:val="0"/>
          <w:sz w:val="32"/>
          <w:szCs w:val="32"/>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30323710.88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34.68</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增加</w:t>
      </w:r>
      <w:r>
        <w:rPr>
          <w:rFonts w:hint="eastAsia" w:ascii="仿宋_GB2312" w:eastAsia="仿宋_GB2312"/>
          <w:color w:val="000000" w:themeColor="text1"/>
          <w:sz w:val="30"/>
          <w:szCs w:val="30"/>
          <w14:textFill>
            <w14:solidFill>
              <w14:schemeClr w14:val="tx1"/>
            </w14:solidFill>
          </w14:textFill>
        </w:rPr>
        <w:t xml:space="preserve"> </w:t>
      </w:r>
      <w:r>
        <w:rPr>
          <w:rFonts w:hint="eastAsia" w:ascii="仿宋_GB2312" w:eastAsia="仿宋_GB2312"/>
          <w:color w:val="000000" w:themeColor="text1"/>
          <w:sz w:val="30"/>
          <w:szCs w:val="30"/>
          <w:lang w:val="en-US" w:eastAsia="zh-CN"/>
          <w14:textFill>
            <w14:solidFill>
              <w14:schemeClr w14:val="tx1"/>
            </w14:solidFill>
          </w14:textFill>
        </w:rPr>
        <w:t>18087196.88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预算追加</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sz w:val="32"/>
          <w:szCs w:val="32"/>
        </w:rPr>
        <w:fldChar w:fldCharType="end"/>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自然资源海洋气象等支出41455230.5</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47.41</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增加29128549.5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预算追加</w:t>
      </w:r>
      <w:r>
        <w:rPr>
          <w:rFonts w:hint="eastAsia" w:ascii="仿宋_GB2312" w:hAnsi="仿宋_GB2312" w:eastAsia="仿宋_GB2312" w:cs="仿宋_GB2312"/>
          <w:color w:val="000000"/>
          <w:spacing w:val="0"/>
          <w:w w:val="100"/>
          <w:position w:val="0"/>
          <w:sz w:val="32"/>
          <w:szCs w:val="32"/>
          <w:lang w:val="en-US" w:eastAsia="zh-CN"/>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灾害防治及应急管理支出13977127.7</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15.95</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增加</w:t>
      </w:r>
      <w:r>
        <w:rPr>
          <w:rFonts w:hint="eastAsia" w:ascii="仿宋_GB2312" w:eastAsia="仿宋_GB2312"/>
          <w:color w:val="000000" w:themeColor="text1"/>
          <w:sz w:val="30"/>
          <w:szCs w:val="30"/>
          <w14:textFill>
            <w14:solidFill>
              <w14:schemeClr w14:val="tx1"/>
            </w14:solidFill>
          </w14:textFill>
        </w:rPr>
        <w:t xml:space="preserve"> </w:t>
      </w:r>
      <w:r>
        <w:rPr>
          <w:rFonts w:hint="eastAsia" w:ascii="仿宋_GB2312" w:hAnsi="仿宋_GB2312" w:eastAsia="仿宋_GB2312" w:cs="仿宋_GB2312"/>
          <w:sz w:val="32"/>
          <w:szCs w:val="32"/>
        </w:rPr>
        <w:t>13977127.7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eastAsia="zh-CN"/>
          <w14:textFill>
            <w14:solidFill>
              <w14:schemeClr w14:val="tx1"/>
            </w14:solidFill>
          </w14:textFill>
        </w:rPr>
        <w:t>预算追加</w:t>
      </w:r>
      <w:r>
        <w:rPr>
          <w:rFonts w:hint="eastAsia" w:ascii="仿宋_GB2312" w:hAnsi="仿宋_GB2312" w:eastAsia="仿宋_GB2312" w:cs="仿宋_GB2312"/>
          <w:color w:val="000000"/>
          <w:spacing w:val="0"/>
          <w:w w:val="100"/>
          <w:position w:val="0"/>
          <w:sz w:val="32"/>
          <w:szCs w:val="32"/>
          <w:lang w:val="en-US"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5"/>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15818549.88</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10198180.81</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   元</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5620369.07</w:t>
      </w:r>
      <w:r>
        <w:rPr>
          <w:rFonts w:hint="eastAsia" w:ascii="仿宋_GB2312" w:hAnsi="仿宋_GB2312" w:eastAsia="仿宋_GB2312" w:cs="仿宋_GB2312"/>
          <w:color w:val="000000"/>
          <w:spacing w:val="0"/>
          <w:w w:val="100"/>
          <w:position w:val="0"/>
          <w:sz w:val="32"/>
          <w:szCs w:val="32"/>
        </w:rPr>
        <w:t>元，公用经费用途主要包括办公费、</w:t>
      </w:r>
      <w:r>
        <w:rPr>
          <w:rFonts w:hint="eastAsia" w:ascii="仿宋_GB2312" w:hAnsi="仿宋_GB2312" w:eastAsia="仿宋_GB2312" w:cs="仿宋_GB2312"/>
          <w:color w:val="000000"/>
          <w:spacing w:val="0"/>
          <w:w w:val="100"/>
          <w:position w:val="0"/>
          <w:sz w:val="32"/>
          <w:szCs w:val="32"/>
          <w:lang w:val="en-US" w:eastAsia="zh-CN"/>
        </w:rPr>
        <w:t>电费、水费、取暖费、劳务费、其他交通费用</w:t>
      </w:r>
      <w:r>
        <w:rPr>
          <w:rFonts w:hint="eastAsia" w:ascii="仿宋_GB2312" w:hAnsi="仿宋_GB2312" w:eastAsia="仿宋_GB2312" w:cs="仿宋_GB2312"/>
          <w:color w:val="000000"/>
          <w:spacing w:val="0"/>
          <w:w w:val="100"/>
          <w:position w:val="0"/>
          <w:sz w:val="32"/>
          <w:szCs w:val="32"/>
        </w:rPr>
        <w:t>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5"/>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0元</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只运行垃圾车辆。</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5"/>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val="en-US" w:eastAsia="zh-CN"/>
        </w:rPr>
        <w:t>减少0元</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只运行垃圾车辆。</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0</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0元</w:t>
      </w:r>
      <w:r>
        <w:rPr>
          <w:rFonts w:hint="eastAsia" w:ascii="仿宋_GB2312" w:hAnsi="仿宋_GB2312" w:eastAsia="仿宋_GB2312" w:cs="仿宋_GB2312"/>
          <w:color w:val="000000"/>
          <w:spacing w:val="0"/>
          <w:w w:val="100"/>
          <w:position w:val="0"/>
          <w:sz w:val="32"/>
          <w:szCs w:val="32"/>
          <w:lang w:val="en-US"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5"/>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39.2万</w:t>
      </w:r>
      <w:r>
        <w:rPr>
          <w:rFonts w:hint="eastAsia" w:ascii="仿宋_GB2312" w:hAnsi="仿宋_GB2312" w:eastAsia="仿宋_GB2312" w:cs="仿宋_GB2312"/>
          <w:color w:val="000000"/>
          <w:spacing w:val="0"/>
          <w:w w:val="100"/>
          <w:position w:val="0"/>
          <w:sz w:val="32"/>
          <w:szCs w:val="32"/>
        </w:rPr>
        <w:t>元，机关运行经费主要用于开支主要用于办公费、</w:t>
      </w:r>
      <w:r>
        <w:rPr>
          <w:rFonts w:hint="eastAsia" w:ascii="仿宋_GB2312" w:hAnsi="仿宋_GB2312" w:eastAsia="仿宋_GB2312" w:cs="仿宋_GB2312"/>
          <w:color w:val="000000"/>
          <w:spacing w:val="0"/>
          <w:w w:val="100"/>
          <w:position w:val="0"/>
          <w:sz w:val="32"/>
          <w:szCs w:val="32"/>
          <w:lang w:val="en-US" w:eastAsia="zh-CN"/>
        </w:rPr>
        <w:t>水电费、取暖费、劳务费、其他交通费用等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年12月31日，本单位共有车辆</w:t>
      </w:r>
      <w:r>
        <w:rPr>
          <w:rFonts w:hint="eastAsia" w:ascii="仿宋_GB2312" w:hAnsi="仿宋_GB2312" w:eastAsia="仿宋_GB2312" w:cs="仿宋_GB2312"/>
          <w:color w:val="000000"/>
          <w:spacing w:val="0"/>
          <w:w w:val="100"/>
          <w:position w:val="0"/>
          <w:sz w:val="32"/>
          <w:szCs w:val="32"/>
          <w:lang w:val="en-US" w:eastAsia="zh-CN" w:bidi="en-US"/>
        </w:rPr>
        <w:t>3</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val="en-US" w:eastAsia="zh-CN"/>
        </w:rPr>
        <w:t>垃圾车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年本单位政府采购支出合计</w:t>
      </w:r>
      <w:r>
        <w:rPr>
          <w:rFonts w:hint="eastAsia" w:ascii="仿宋_GB2312" w:hAnsi="仿宋_GB2312" w:eastAsia="仿宋_GB2312" w:cs="仿宋_GB2312"/>
          <w:color w:val="000000"/>
          <w:spacing w:val="0"/>
          <w:w w:val="100"/>
          <w:position w:val="0"/>
          <w:sz w:val="32"/>
          <w:szCs w:val="32"/>
          <w:lang w:val="en-US" w:eastAsia="zh-CN" w:bidi="en-US"/>
        </w:rPr>
        <w:t>152689</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152689</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120657708.86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101849469.86</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18808239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.主要用于项目征地款。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 w:hAnsi="仿宋" w:eastAsia="仿宋" w:cs="仿宋"/>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 w:hAnsi="仿宋" w:eastAsia="仿宋" w:cs="仿宋"/>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（一）预算绩效管理工作开展情况：</w:t>
      </w:r>
      <w:r>
        <w:rPr>
          <w:rFonts w:hint="eastAsia" w:ascii="仿宋" w:hAnsi="仿宋" w:eastAsia="仿宋" w:cs="仿宋"/>
          <w:bCs/>
          <w:kern w:val="0"/>
          <w:sz w:val="32"/>
          <w:szCs w:val="32"/>
          <w:lang w:eastAsia="zh-CN"/>
        </w:rPr>
        <w:t>东乡族自治县自然资源局，</w:t>
      </w:r>
      <w:r>
        <w:rPr>
          <w:rFonts w:hint="eastAsia" w:ascii="仿宋" w:hAnsi="仿宋" w:eastAsia="仿宋" w:cs="仿宋"/>
          <w:sz w:val="32"/>
          <w:szCs w:val="32"/>
        </w:rPr>
        <w:t>成立</w:t>
      </w:r>
      <w:r>
        <w:rPr>
          <w:rFonts w:hint="eastAsia" w:ascii="仿宋" w:hAnsi="仿宋" w:eastAsia="仿宋" w:cs="仿宋"/>
          <w:sz w:val="32"/>
          <w:szCs w:val="32"/>
          <w:lang w:val="en-US" w:eastAsia="zh-CN"/>
        </w:rPr>
        <w:t>于</w:t>
      </w:r>
      <w:r>
        <w:rPr>
          <w:rFonts w:hint="eastAsia" w:ascii="仿宋" w:hAnsi="仿宋" w:eastAsia="仿宋" w:cs="仿宋"/>
          <w:sz w:val="32"/>
          <w:szCs w:val="32"/>
        </w:rPr>
        <w:t>20</w:t>
      </w:r>
      <w:r>
        <w:rPr>
          <w:rFonts w:hint="eastAsia" w:ascii="仿宋" w:hAnsi="仿宋" w:eastAsia="仿宋" w:cs="仿宋"/>
          <w:sz w:val="32"/>
          <w:szCs w:val="32"/>
          <w:lang w:val="en-US" w:eastAsia="zh-CN"/>
        </w:rPr>
        <w:t>19</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eastAsia="zh-CN"/>
        </w:rPr>
        <w:t>。</w:t>
      </w:r>
      <w:r>
        <w:rPr>
          <w:rFonts w:hint="eastAsia" w:ascii="仿宋" w:hAnsi="仿宋" w:eastAsia="仿宋" w:cs="仿宋"/>
          <w:sz w:val="32"/>
          <w:szCs w:val="32"/>
        </w:rPr>
        <w:t>是</w:t>
      </w:r>
      <w:r>
        <w:rPr>
          <w:rFonts w:hint="eastAsia" w:ascii="仿宋" w:hAnsi="仿宋" w:eastAsia="仿宋" w:cs="仿宋"/>
          <w:sz w:val="32"/>
          <w:szCs w:val="32"/>
          <w:lang w:val="en-US" w:eastAsia="zh-CN"/>
        </w:rPr>
        <w:t>东乡县</w:t>
      </w:r>
      <w:r>
        <w:rPr>
          <w:rFonts w:hint="eastAsia" w:ascii="仿宋" w:hAnsi="仿宋" w:eastAsia="仿宋" w:cs="仿宋"/>
          <w:sz w:val="32"/>
          <w:szCs w:val="32"/>
        </w:rPr>
        <w:t>政府组成部门，为正科级。</w:t>
      </w:r>
      <w:r>
        <w:rPr>
          <w:rFonts w:hint="eastAsia" w:ascii="仿宋" w:hAnsi="仿宋" w:eastAsia="仿宋" w:cs="仿宋"/>
          <w:color w:val="000000"/>
          <w:kern w:val="0"/>
          <w:sz w:val="32"/>
          <w:szCs w:val="32"/>
          <w:lang w:val="en-US" w:eastAsia="zh-CN" w:bidi="ar"/>
        </w:rPr>
        <w:t>县自然资源局贯彻落实中央、省、州关于统一行使全民所有自然资源资产所有者职责，统一行使所有国土空间用途管制和生态保护修复职责的要求，按照省委省政府、州委州政府、县委县政府的部署，发挥国土空间规划的管控作用，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根据《中华人民共和国土地管理法实施条例》、《甘肃省土地征收程序暂行规定》等法律法规及州政府办《关于进一步规范征地管理工作的通知》（临州办发〔2021〕88号）文件精神，依法依规全面开展土地征收工作，结合东乡县实际，进一步盘活土地市场和加大对储备土地资源的整合力度，提高东乡县土地利用率。2021年共发放征地补偿款15236万元，征收土地面积5020.2896亩，涉及项目47个，被征地农民4563户。通过甘肃省农村信用合作联社、邮储银行、甘肃银行</w:t>
      </w:r>
      <w:r>
        <w:rPr>
          <w:rFonts w:hint="eastAsia" w:ascii="仿宋" w:hAnsi="仿宋" w:eastAsia="仿宋" w:cs="仿宋"/>
          <w:color w:val="000000"/>
          <w:kern w:val="0"/>
          <w:sz w:val="32"/>
          <w:szCs w:val="32"/>
          <w:lang w:val="en-US" w:eastAsia="zh-CN" w:bidi="ar"/>
        </w:rPr>
        <w:t>存折形式发放给被征地农民。</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东乡县沿洮河经济带开发建设项目涉及达板镇达板村、上科妥村、下科妥村、甘家村、崔家村、拱北滩村、红庄村、舀水村、陈家村、红柳村、黑石山村等11个村。截止目前共完成征地8916.665亩（其中前期征地8120.284亩，涉及5504户20418人，近期征地796.381亩），征地补偿款共计8.8606亿元，已发放征地补偿款8.1199亿元，未发放征地补偿款0.7407亿元。</w:t>
      </w:r>
      <w:r>
        <w:rPr>
          <w:rFonts w:hint="eastAsia" w:ascii="仿宋" w:hAnsi="仿宋" w:eastAsia="仿宋" w:cs="仿宋"/>
          <w:color w:val="000000"/>
          <w:kern w:val="0"/>
          <w:sz w:val="32"/>
          <w:szCs w:val="32"/>
          <w:lang w:val="en-US" w:eastAsia="zh-CN" w:bidi="ar"/>
        </w:rPr>
        <w:br w:type="textWrapping"/>
      </w:r>
      <w:r>
        <w:rPr>
          <w:rFonts w:hint="eastAsia" w:ascii="仿宋" w:hAnsi="仿宋" w:eastAsia="仿宋" w:cs="仿宋"/>
          <w:color w:val="000000"/>
          <w:kern w:val="0"/>
          <w:sz w:val="32"/>
          <w:szCs w:val="32"/>
          <w:lang w:val="en-US" w:eastAsia="zh-CN" w:bidi="ar"/>
        </w:rPr>
        <w:t xml:space="preserve">    临洮（安家咀）至临夏一级公路建设项目涉及达板镇、果园镇等10个乡镇42个村，征地面积4758.581亩，</w:t>
      </w:r>
      <w:r>
        <w:rPr>
          <w:rFonts w:hint="default" w:ascii="仿宋" w:hAnsi="仿宋" w:eastAsia="仿宋" w:cs="仿宋"/>
          <w:color w:val="000000"/>
          <w:kern w:val="0"/>
          <w:sz w:val="32"/>
          <w:szCs w:val="32"/>
          <w:lang w:val="en-US" w:eastAsia="zh-CN" w:bidi="ar"/>
        </w:rPr>
        <w:t>征地补偿款共计</w:t>
      </w:r>
      <w:r>
        <w:rPr>
          <w:rFonts w:hint="eastAsia" w:ascii="仿宋" w:hAnsi="仿宋" w:eastAsia="仿宋" w:cs="仿宋"/>
          <w:color w:val="000000"/>
          <w:kern w:val="0"/>
          <w:sz w:val="32"/>
          <w:szCs w:val="32"/>
          <w:lang w:val="en-US" w:eastAsia="zh-CN" w:bidi="ar"/>
        </w:rPr>
        <w:t>29054.7349万元</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唐达二级公路建设项目涉及达板镇达板社区、红庄村、红柳村、舀水村、黑石山村，唐汪镇唐家社区、汪家社区、马巷村、张家村、舀水村、胡浪村、白咀村、河沿村、塔石沟村、照壁山村等2个乡镇15个村，共计1152户5318人，征地面积712.584亩，</w:t>
      </w:r>
      <w:r>
        <w:rPr>
          <w:rFonts w:hint="default" w:ascii="仿宋" w:hAnsi="仿宋" w:eastAsia="仿宋" w:cs="仿宋"/>
          <w:color w:val="000000"/>
          <w:kern w:val="0"/>
          <w:sz w:val="32"/>
          <w:szCs w:val="32"/>
          <w:lang w:val="en-US" w:eastAsia="zh-CN" w:bidi="ar"/>
        </w:rPr>
        <w:t>征地补偿款共计</w:t>
      </w:r>
      <w:r>
        <w:rPr>
          <w:rFonts w:hint="eastAsia" w:ascii="仿宋" w:hAnsi="仿宋" w:eastAsia="仿宋" w:cs="仿宋"/>
          <w:color w:val="000000"/>
          <w:kern w:val="0"/>
          <w:sz w:val="32"/>
          <w:szCs w:val="32"/>
          <w:lang w:val="en-US" w:eastAsia="zh-CN" w:bidi="ar"/>
        </w:rPr>
        <w:t>3135.0689万</w:t>
      </w:r>
      <w:r>
        <w:rPr>
          <w:rFonts w:hint="default" w:ascii="仿宋" w:hAnsi="仿宋" w:eastAsia="仿宋" w:cs="仿宋"/>
          <w:color w:val="000000"/>
          <w:kern w:val="0"/>
          <w:sz w:val="32"/>
          <w:szCs w:val="32"/>
          <w:lang w:val="en-US" w:eastAsia="zh-CN" w:bidi="ar"/>
        </w:rPr>
        <w:t>元</w:t>
      </w:r>
      <w:r>
        <w:rPr>
          <w:rFonts w:hint="eastAsia" w:ascii="仿宋" w:hAnsi="仿宋" w:eastAsia="仿宋" w:cs="仿宋"/>
          <w:color w:val="000000"/>
          <w:kern w:val="0"/>
          <w:sz w:val="32"/>
          <w:szCs w:val="32"/>
          <w:lang w:val="en-US" w:eastAsia="zh-CN" w:bidi="ar"/>
        </w:rPr>
        <w:t>。</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东塬农家乐群项目涉及东塬乡东塬村、林家村，共115户625人，征地面积153.308亩，</w:t>
      </w:r>
      <w:r>
        <w:rPr>
          <w:rFonts w:hint="default" w:ascii="仿宋" w:hAnsi="仿宋" w:eastAsia="仿宋" w:cs="仿宋"/>
          <w:color w:val="000000"/>
          <w:kern w:val="0"/>
          <w:sz w:val="32"/>
          <w:szCs w:val="32"/>
          <w:lang w:val="en-US" w:eastAsia="zh-CN" w:bidi="ar"/>
        </w:rPr>
        <w:t>征地补偿款共计</w:t>
      </w:r>
      <w:r>
        <w:rPr>
          <w:rFonts w:hint="eastAsia" w:ascii="仿宋" w:hAnsi="仿宋" w:eastAsia="仿宋" w:cs="仿宋"/>
          <w:color w:val="000000"/>
          <w:kern w:val="0"/>
          <w:sz w:val="32"/>
          <w:szCs w:val="32"/>
          <w:lang w:val="en-US" w:eastAsia="zh-CN" w:bidi="ar"/>
        </w:rPr>
        <w:t>921.8172万</w:t>
      </w:r>
      <w:r>
        <w:rPr>
          <w:rFonts w:hint="default" w:ascii="仿宋" w:hAnsi="仿宋" w:eastAsia="仿宋" w:cs="仿宋"/>
          <w:color w:val="000000"/>
          <w:kern w:val="0"/>
          <w:sz w:val="32"/>
          <w:szCs w:val="32"/>
          <w:lang w:val="en-US" w:eastAsia="zh-CN" w:bidi="ar"/>
        </w:rPr>
        <w:t>元</w:t>
      </w:r>
      <w:r>
        <w:rPr>
          <w:rFonts w:hint="eastAsia" w:ascii="仿宋" w:hAnsi="仿宋" w:eastAsia="仿宋" w:cs="仿宋"/>
          <w:color w:val="000000"/>
          <w:kern w:val="0"/>
          <w:sz w:val="32"/>
          <w:szCs w:val="32"/>
          <w:lang w:val="en-US" w:eastAsia="zh-CN" w:bidi="ar"/>
        </w:rPr>
        <w:t>，</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黑石山建材厂项目位于唐汪镇张家村、马巷村交界处，共涉及36户138人，征地面积85.169亩，其中：旱地41.42亩，未利用地43.749亩，补偿款已全部发放。</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唐汪污水处理厂项目位于唐汪镇白咀村，共涉及62户287人，总征地面积水浇地41.607亩，补偿款已全部发放，。</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东乡县南阳渠提质增效及水系连通工程项目涉及达板镇上科妥村、那勒寺镇上哈力村、达板空村，共162户578人，征地面积130.654亩，征地补偿款已发放490.4734万元。</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林家遗址文物保护利用设施建设项目位于东塬乡林家村，共涉及3户14人，征地面积3.891亩，补偿款已全部发放，共计发放征地补偿款22.4247万元。</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bookmarkStart w:id="17" w:name="_GoBack"/>
      <w:bookmarkEnd w:id="17"/>
      <w:r>
        <w:rPr>
          <w:rFonts w:hint="eastAsia" w:ascii="仿宋" w:hAnsi="仿宋" w:eastAsia="仿宋" w:cs="仿宋"/>
          <w:color w:val="000000"/>
          <w:kern w:val="0"/>
          <w:sz w:val="32"/>
          <w:szCs w:val="32"/>
          <w:lang w:val="en-US" w:eastAsia="zh-CN" w:bidi="ar"/>
        </w:rPr>
        <w:t>河滩镇出备用地涉及河滩镇尕常社区，共46户177人，征地面积32.37亩，补偿款已全部发放，共计发放征地补偿款393.048万元。</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东乡县城污水处理厂提标改造扩建项目</w:t>
      </w:r>
      <w:r>
        <w:rPr>
          <w:rFonts w:hint="eastAsia" w:ascii="仿宋" w:hAnsi="仿宋" w:eastAsia="仿宋" w:cs="仿宋"/>
          <w:color w:val="000000"/>
          <w:kern w:val="0"/>
          <w:sz w:val="32"/>
          <w:szCs w:val="32"/>
          <w:lang w:val="en-US" w:eastAsia="zh-CN" w:bidi="ar"/>
        </w:rPr>
        <w:t>位于锁南镇八牙村</w:t>
      </w:r>
      <w:r>
        <w:rPr>
          <w:rFonts w:hint="default" w:ascii="仿宋" w:hAnsi="仿宋" w:eastAsia="仿宋" w:cs="仿宋"/>
          <w:color w:val="000000"/>
          <w:kern w:val="0"/>
          <w:sz w:val="32"/>
          <w:szCs w:val="32"/>
          <w:lang w:val="en-US" w:eastAsia="zh-CN" w:bidi="ar"/>
        </w:rPr>
        <w:t>，共涉及29户</w:t>
      </w:r>
      <w:r>
        <w:rPr>
          <w:rFonts w:hint="eastAsia" w:ascii="仿宋" w:hAnsi="仿宋" w:eastAsia="仿宋" w:cs="仿宋"/>
          <w:color w:val="000000"/>
          <w:kern w:val="0"/>
          <w:sz w:val="32"/>
          <w:szCs w:val="32"/>
          <w:lang w:val="en-US" w:eastAsia="zh-CN" w:bidi="ar"/>
        </w:rPr>
        <w:t>149人</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征地面积</w:t>
      </w:r>
      <w:r>
        <w:rPr>
          <w:rFonts w:hint="default" w:ascii="仿宋" w:hAnsi="仿宋" w:eastAsia="仿宋" w:cs="仿宋"/>
          <w:color w:val="000000"/>
          <w:kern w:val="0"/>
          <w:sz w:val="32"/>
          <w:szCs w:val="32"/>
          <w:lang w:val="en-US" w:eastAsia="zh-CN" w:bidi="ar"/>
        </w:rPr>
        <w:t>18.752亩</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征地补偿款共计117</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688</w:t>
      </w:r>
      <w:r>
        <w:rPr>
          <w:rFonts w:hint="eastAsia" w:ascii="仿宋" w:hAnsi="仿宋" w:eastAsia="仿宋" w:cs="仿宋"/>
          <w:color w:val="000000"/>
          <w:kern w:val="0"/>
          <w:sz w:val="32"/>
          <w:szCs w:val="32"/>
          <w:lang w:val="en-US" w:eastAsia="zh-CN" w:bidi="ar"/>
        </w:rPr>
        <w:t>万</w:t>
      </w:r>
      <w:r>
        <w:rPr>
          <w:rFonts w:hint="default" w:ascii="仿宋" w:hAnsi="仿宋" w:eastAsia="仿宋" w:cs="仿宋"/>
          <w:color w:val="000000"/>
          <w:kern w:val="0"/>
          <w:sz w:val="32"/>
          <w:szCs w:val="32"/>
          <w:lang w:val="en-US" w:eastAsia="zh-CN" w:bidi="ar"/>
        </w:rPr>
        <w:t>元</w:t>
      </w:r>
      <w:r>
        <w:rPr>
          <w:rFonts w:hint="eastAsia" w:ascii="仿宋" w:hAnsi="仿宋" w:eastAsia="仿宋" w:cs="仿宋"/>
          <w:color w:val="000000"/>
          <w:kern w:val="0"/>
          <w:sz w:val="32"/>
          <w:szCs w:val="32"/>
          <w:lang w:val="en-US" w:eastAsia="zh-CN" w:bidi="ar"/>
        </w:rPr>
        <w:t>，未发放。</w:t>
      </w:r>
    </w:p>
    <w:p>
      <w:pPr>
        <w:keepNext w:val="0"/>
        <w:keepLines w:val="0"/>
        <w:pageBreakBefore w:val="0"/>
        <w:widowControl/>
        <w:suppressLineNumbers w:val="0"/>
        <w:shd w:val="clear" w:color="auto" w:fill="auto"/>
        <w:kinsoku/>
        <w:wordWrap/>
        <w:overflowPunct/>
        <w:topLinePunct w:val="0"/>
        <w:autoSpaceDE/>
        <w:autoSpaceDN/>
        <w:bidi w:val="0"/>
        <w:spacing w:line="70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东乡下王家遗址公园建设项目</w:t>
      </w:r>
      <w:r>
        <w:rPr>
          <w:rFonts w:hint="eastAsia" w:ascii="仿宋" w:hAnsi="仿宋" w:eastAsia="仿宋" w:cs="仿宋"/>
          <w:color w:val="000000"/>
          <w:kern w:val="0"/>
          <w:sz w:val="32"/>
          <w:szCs w:val="32"/>
          <w:lang w:val="en-US" w:eastAsia="zh-CN" w:bidi="ar"/>
        </w:rPr>
        <w:t>位于</w:t>
      </w:r>
      <w:r>
        <w:rPr>
          <w:rFonts w:hint="default" w:ascii="仿宋" w:hAnsi="仿宋" w:eastAsia="仿宋" w:cs="仿宋"/>
          <w:color w:val="000000"/>
          <w:kern w:val="0"/>
          <w:sz w:val="32"/>
          <w:szCs w:val="32"/>
          <w:lang w:val="en-US" w:eastAsia="zh-CN" w:bidi="ar"/>
        </w:rPr>
        <w:t>锁南镇王家村</w:t>
      </w:r>
      <w:r>
        <w:rPr>
          <w:rFonts w:hint="eastAsia" w:ascii="仿宋" w:hAnsi="仿宋" w:eastAsia="仿宋" w:cs="仿宋"/>
          <w:color w:val="000000"/>
          <w:kern w:val="0"/>
          <w:sz w:val="32"/>
          <w:szCs w:val="32"/>
          <w:lang w:val="en-US" w:eastAsia="zh-CN" w:bidi="ar"/>
        </w:rPr>
        <w:t>，共涉及</w:t>
      </w:r>
      <w:r>
        <w:rPr>
          <w:rFonts w:hint="default" w:ascii="仿宋" w:hAnsi="仿宋" w:eastAsia="仿宋" w:cs="仿宋"/>
          <w:color w:val="000000"/>
          <w:kern w:val="0"/>
          <w:sz w:val="32"/>
          <w:szCs w:val="32"/>
          <w:lang w:val="en-US" w:eastAsia="zh-CN" w:bidi="ar"/>
        </w:rPr>
        <w:t>6户</w:t>
      </w:r>
      <w:r>
        <w:rPr>
          <w:rFonts w:hint="eastAsia" w:ascii="仿宋" w:hAnsi="仿宋" w:eastAsia="仿宋" w:cs="仿宋"/>
          <w:color w:val="000000"/>
          <w:kern w:val="0"/>
          <w:sz w:val="32"/>
          <w:szCs w:val="32"/>
          <w:lang w:val="en-US" w:eastAsia="zh-CN" w:bidi="ar"/>
        </w:rPr>
        <w:t>31人</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征地面积</w:t>
      </w:r>
      <w:r>
        <w:rPr>
          <w:rFonts w:hint="default" w:ascii="仿宋" w:hAnsi="仿宋" w:eastAsia="仿宋" w:cs="仿宋"/>
          <w:color w:val="000000"/>
          <w:kern w:val="0"/>
          <w:sz w:val="32"/>
          <w:szCs w:val="32"/>
          <w:lang w:val="en-US" w:eastAsia="zh-CN" w:bidi="ar"/>
        </w:rPr>
        <w:t>19.729亩</w:t>
      </w:r>
      <w:r>
        <w:rPr>
          <w:rFonts w:hint="eastAsia" w:ascii="仿宋" w:hAnsi="仿宋" w:eastAsia="仿宋" w:cs="仿宋"/>
          <w:color w:val="000000"/>
          <w:kern w:val="0"/>
          <w:sz w:val="32"/>
          <w:szCs w:val="32"/>
          <w:lang w:val="en-US" w:eastAsia="zh-CN" w:bidi="ar"/>
        </w:rPr>
        <w:t>，补偿款已全部发放，共计发放征地补偿款</w:t>
      </w:r>
      <w:r>
        <w:rPr>
          <w:rFonts w:hint="default" w:ascii="仿宋" w:hAnsi="仿宋" w:eastAsia="仿宋" w:cs="仿宋"/>
          <w:color w:val="000000"/>
          <w:kern w:val="0"/>
          <w:sz w:val="32"/>
          <w:szCs w:val="32"/>
          <w:lang w:val="en-US" w:eastAsia="zh-CN" w:bidi="ar"/>
        </w:rPr>
        <w:t>120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574</w:t>
      </w:r>
      <w:r>
        <w:rPr>
          <w:rFonts w:hint="eastAsia" w:ascii="仿宋" w:hAnsi="仿宋" w:eastAsia="仿宋" w:cs="仿宋"/>
          <w:color w:val="000000"/>
          <w:kern w:val="0"/>
          <w:sz w:val="32"/>
          <w:szCs w:val="32"/>
          <w:lang w:val="en-US" w:eastAsia="zh-CN" w:bidi="ar"/>
        </w:rPr>
        <w:t>万</w:t>
      </w:r>
      <w:r>
        <w:rPr>
          <w:rFonts w:hint="default" w:ascii="仿宋" w:hAnsi="仿宋" w:eastAsia="仿宋" w:cs="仿宋"/>
          <w:color w:val="000000"/>
          <w:kern w:val="0"/>
          <w:sz w:val="32"/>
          <w:szCs w:val="32"/>
          <w:lang w:val="en-US" w:eastAsia="zh-CN" w:bidi="ar"/>
        </w:rPr>
        <w:t>元</w:t>
      </w:r>
      <w:r>
        <w:rPr>
          <w:rFonts w:hint="eastAsia" w:ascii="仿宋" w:hAnsi="仿宋" w:eastAsia="仿宋" w:cs="仿宋"/>
          <w:color w:val="000000"/>
          <w:kern w:val="0"/>
          <w:sz w:val="32"/>
          <w:szCs w:val="32"/>
          <w:lang w:val="en-US" w:eastAsia="zh-CN" w:bidi="ar"/>
        </w:rPr>
        <w:t>。</w:t>
      </w:r>
    </w:p>
    <w:p>
      <w:pPr>
        <w:keepNext w:val="0"/>
        <w:keepLines w:val="0"/>
        <w:pageBreakBefore w:val="0"/>
        <w:kinsoku/>
        <w:wordWrap/>
        <w:overflowPunct/>
        <w:topLinePunct w:val="0"/>
        <w:autoSpaceDE/>
        <w:autoSpaceDN/>
        <w:bidi w:val="0"/>
        <w:spacing w:line="600" w:lineRule="exact"/>
        <w:ind w:right="0" w:rightChars="0" w:firstLine="643" w:firstLineChars="200"/>
        <w:textAlignment w:val="auto"/>
        <w:outlineLvl w:val="9"/>
        <w:rPr>
          <w:rFonts w:ascii="仿宋_GB2312" w:eastAsia="仿宋_GB2312"/>
          <w:b/>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绩效产出目标</w:t>
      </w:r>
    </w:p>
    <w:p>
      <w:pPr>
        <w:keepNext w:val="0"/>
        <w:keepLines w:val="0"/>
        <w:pageBreakBefore w:val="0"/>
        <w:kinsoku/>
        <w:wordWrap/>
        <w:overflowPunct/>
        <w:topLinePunct w:val="0"/>
        <w:autoSpaceDE/>
        <w:autoSpaceDN/>
        <w:bidi w:val="0"/>
        <w:spacing w:line="600" w:lineRule="exact"/>
        <w:ind w:right="0" w:rightChars="0" w:firstLine="640" w:firstLineChars="200"/>
        <w:textAlignment w:val="auto"/>
        <w:outlineLvl w:val="9"/>
        <w:rPr>
          <w:rFonts w:hint="eastAsia" w:ascii="仿宋" w:hAnsi="仿宋" w:eastAsia="仿宋"/>
          <w:strike w:val="0"/>
          <w:dstrike w:val="0"/>
          <w:sz w:val="32"/>
          <w:highlight w:val="none"/>
          <w:lang w:val="en-US" w:eastAsia="zh-CN"/>
        </w:rPr>
      </w:pPr>
      <w:r>
        <w:rPr>
          <w:rFonts w:hint="eastAsia" w:ascii="仿宋_GB2312" w:eastAsia="仿宋_GB2312"/>
          <w:sz w:val="32"/>
          <w:szCs w:val="32"/>
        </w:rPr>
        <w:t>资金直补受益移民</w:t>
      </w:r>
      <w:r>
        <w:rPr>
          <w:rFonts w:hint="eastAsia" w:ascii="仿宋" w:hAnsi="仿宋" w:eastAsia="仿宋" w:cs="仿宋"/>
          <w:sz w:val="32"/>
          <w:szCs w:val="32"/>
          <w:lang w:val="en-US" w:eastAsia="zh-CN"/>
        </w:rPr>
        <w:t>4563</w:t>
      </w:r>
      <w:r>
        <w:rPr>
          <w:rFonts w:hint="eastAsia" w:ascii="仿宋_GB2312" w:eastAsia="仿宋_GB2312"/>
          <w:sz w:val="32"/>
          <w:szCs w:val="32"/>
        </w:rPr>
        <w:t>人</w:t>
      </w:r>
      <w:r>
        <w:rPr>
          <w:rFonts w:hint="eastAsia" w:ascii="仿宋_GB2312" w:eastAsia="仿宋_GB2312"/>
          <w:sz w:val="32"/>
          <w:szCs w:val="32"/>
          <w:lang w:eastAsia="zh-CN"/>
        </w:rPr>
        <w:t>，项目扶持收益人口</w:t>
      </w:r>
      <w:r>
        <w:rPr>
          <w:rFonts w:hint="eastAsia" w:ascii="仿宋_GB2312" w:eastAsia="仿宋_GB2312"/>
          <w:sz w:val="32"/>
          <w:szCs w:val="32"/>
          <w:lang w:val="en-US" w:eastAsia="zh-CN"/>
        </w:rPr>
        <w:t>20060人。</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Calibri" w:eastAsia="仿宋_GB2312" w:cs="Times New Roman"/>
          <w:kern w:val="2"/>
          <w:sz w:val="32"/>
          <w:szCs w:val="32"/>
          <w:highlight w:val="none"/>
          <w:lang w:val="en-US" w:eastAsia="zh-CN" w:bidi="ar-SA"/>
        </w:rPr>
      </w:pPr>
      <w:r>
        <w:rPr>
          <w:rFonts w:hint="eastAsia"/>
          <w:lang w:val="en-US" w:eastAsia="zh-CN"/>
        </w:rPr>
        <w:t xml:space="preserve">  </w:t>
      </w:r>
      <w:r>
        <w:rPr>
          <w:rFonts w:hint="eastAsia" w:ascii="仿宋_GB2312" w:hAnsi="Calibri" w:eastAsia="仿宋_GB2312" w:cs="Times New Roman"/>
          <w:kern w:val="2"/>
          <w:sz w:val="32"/>
          <w:szCs w:val="32"/>
          <w:highlight w:val="none"/>
          <w:lang w:val="en-US" w:eastAsia="zh-CN" w:bidi="ar-SA"/>
        </w:rPr>
        <w:t xml:space="preserve">   绩效目标：到2021年年底，47个项目征地工作全部完工，资金拨付比例达到80%。</w:t>
      </w:r>
    </w:p>
    <w:p>
      <w:pPr>
        <w:keepNext w:val="0"/>
        <w:keepLines w:val="0"/>
        <w:pageBreakBefore w:val="0"/>
        <w:kinsoku/>
        <w:wordWrap/>
        <w:overflowPunct/>
        <w:topLinePunct w:val="0"/>
        <w:autoSpaceDE/>
        <w:autoSpaceDN/>
        <w:bidi w:val="0"/>
        <w:spacing w:line="600" w:lineRule="exact"/>
        <w:ind w:right="0" w:rightChars="0" w:firstLine="643" w:firstLineChars="200"/>
        <w:textAlignment w:val="auto"/>
        <w:outlineLvl w:val="9"/>
        <w:rPr>
          <w:rFonts w:ascii="仿宋_GB2312" w:eastAsia="仿宋_GB2312"/>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效益目标</w:t>
      </w:r>
      <w:r>
        <w:rPr>
          <w:rFonts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rPr>
        <w:t>通过</w:t>
      </w:r>
      <w:r>
        <w:rPr>
          <w:rFonts w:hint="eastAsia" w:ascii="仿宋_GB2312" w:eastAsia="仿宋_GB2312"/>
          <w:sz w:val="32"/>
          <w:szCs w:val="32"/>
          <w:lang w:val="en-US" w:eastAsia="zh-CN"/>
        </w:rPr>
        <w:t>资金直补和项目扶持的方式</w:t>
      </w:r>
      <w:r>
        <w:rPr>
          <w:rFonts w:hint="eastAsia" w:ascii="仿宋_GB2312" w:eastAsia="仿宋_GB2312"/>
          <w:sz w:val="32"/>
          <w:szCs w:val="32"/>
        </w:rPr>
        <w:t>，使</w:t>
      </w:r>
      <w:r>
        <w:rPr>
          <w:rFonts w:hint="eastAsia" w:ascii="仿宋_GB2312" w:eastAsia="仿宋_GB2312"/>
          <w:sz w:val="32"/>
          <w:szCs w:val="32"/>
          <w:lang w:eastAsia="zh-CN"/>
        </w:rPr>
        <w:t>群众</w:t>
      </w:r>
      <w:r>
        <w:rPr>
          <w:rFonts w:hint="eastAsia" w:ascii="仿宋_GB2312" w:eastAsia="仿宋_GB2312"/>
          <w:sz w:val="32"/>
          <w:szCs w:val="32"/>
        </w:rPr>
        <w:t>的生产</w:t>
      </w:r>
      <w:r>
        <w:rPr>
          <w:rFonts w:hint="eastAsia" w:ascii="仿宋_GB2312" w:eastAsia="仿宋_GB2312"/>
          <w:sz w:val="32"/>
          <w:szCs w:val="32"/>
          <w:lang w:val="en-US" w:eastAsia="zh-CN"/>
        </w:rPr>
        <w:t>生活</w:t>
      </w:r>
      <w:r>
        <w:rPr>
          <w:rFonts w:hint="eastAsia" w:ascii="仿宋_GB2312" w:eastAsia="仿宋_GB2312"/>
          <w:sz w:val="32"/>
          <w:szCs w:val="32"/>
        </w:rPr>
        <w:t>条件逐步改善，人均</w:t>
      </w:r>
      <w:r>
        <w:rPr>
          <w:rFonts w:hint="eastAsia" w:ascii="仿宋_GB2312" w:eastAsia="仿宋_GB2312"/>
          <w:sz w:val="32"/>
          <w:szCs w:val="32"/>
          <w:lang w:val="en-US" w:eastAsia="zh-CN"/>
        </w:rPr>
        <w:t>可支配</w:t>
      </w:r>
      <w:r>
        <w:rPr>
          <w:rFonts w:hint="eastAsia" w:ascii="仿宋_GB2312" w:eastAsia="仿宋_GB2312"/>
          <w:sz w:val="32"/>
          <w:szCs w:val="32"/>
        </w:rPr>
        <w:t>收入逐年增加。</w:t>
      </w:r>
      <w:r>
        <w:rPr>
          <w:rFonts w:hint="eastAsia" w:ascii="仿宋_GB2312" w:eastAsia="仿宋_GB2312"/>
          <w:sz w:val="32"/>
          <w:szCs w:val="32"/>
          <w:lang w:val="en-US" w:eastAsia="zh-CN"/>
        </w:rPr>
        <w:t>通过实施农田水利、生产开发、人居环境整治等项目</w:t>
      </w:r>
      <w:r>
        <w:rPr>
          <w:rFonts w:hint="eastAsia" w:ascii="仿宋_GB2312" w:eastAsia="仿宋_GB2312"/>
          <w:sz w:val="32"/>
          <w:szCs w:val="32"/>
        </w:rPr>
        <w:t>，使移民</w:t>
      </w:r>
      <w:r>
        <w:rPr>
          <w:rFonts w:hint="eastAsia" w:ascii="仿宋_GB2312" w:eastAsia="仿宋_GB2312"/>
          <w:sz w:val="32"/>
          <w:szCs w:val="32"/>
          <w:lang w:val="en-US" w:eastAsia="zh-CN"/>
        </w:rPr>
        <w:t>村农产业得以发展，移民</w:t>
      </w:r>
      <w:r>
        <w:rPr>
          <w:rFonts w:hint="eastAsia" w:ascii="仿宋_GB2312" w:eastAsia="仿宋_GB2312"/>
          <w:sz w:val="32"/>
          <w:szCs w:val="32"/>
          <w:lang w:eastAsia="zh-CN"/>
        </w:rPr>
        <w:t>居住环境得到改善，</w:t>
      </w:r>
      <w:r>
        <w:rPr>
          <w:rFonts w:hint="eastAsia" w:ascii="仿宋_GB2312" w:eastAsia="仿宋_GB2312"/>
          <w:sz w:val="32"/>
          <w:szCs w:val="32"/>
        </w:rPr>
        <w:t>不稳定因素逐步化解，上访事件大幅减少</w:t>
      </w:r>
      <w:r>
        <w:rPr>
          <w:rFonts w:ascii="仿宋_GB2312" w:eastAsia="仿宋_GB2312"/>
          <w:sz w:val="32"/>
          <w:szCs w:val="32"/>
        </w:rPr>
        <w:t>,</w:t>
      </w:r>
      <w:r>
        <w:rPr>
          <w:rFonts w:hint="eastAsia" w:ascii="仿宋_GB2312" w:eastAsia="仿宋_GB2312"/>
          <w:sz w:val="32"/>
          <w:szCs w:val="32"/>
        </w:rPr>
        <w:t>移民思想逐步稳定。</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7920E7BB"/>
    <w:multiLevelType w:val="singleLevel"/>
    <w:tmpl w:val="7920E7BB"/>
    <w:lvl w:ilvl="0" w:tentative="0">
      <w:start w:val="1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2U0OWM2OTcyNjI0YjlhYWQ3MGI2MTc1ZjVhM2M4Y2EifQ=="/>
  </w:docVars>
  <w:rsids>
    <w:rsidRoot w:val="00000000"/>
    <w:rsid w:val="035E5282"/>
    <w:rsid w:val="0511788F"/>
    <w:rsid w:val="06AA1511"/>
    <w:rsid w:val="0A4C6688"/>
    <w:rsid w:val="12E074F0"/>
    <w:rsid w:val="1739327C"/>
    <w:rsid w:val="19BA4320"/>
    <w:rsid w:val="1B205130"/>
    <w:rsid w:val="1E712589"/>
    <w:rsid w:val="1F523B54"/>
    <w:rsid w:val="224C0668"/>
    <w:rsid w:val="25FD0C5D"/>
    <w:rsid w:val="29C05E6C"/>
    <w:rsid w:val="2F990904"/>
    <w:rsid w:val="37D944E9"/>
    <w:rsid w:val="39F46F0A"/>
    <w:rsid w:val="3ABD5DEE"/>
    <w:rsid w:val="3BD710AD"/>
    <w:rsid w:val="40C70436"/>
    <w:rsid w:val="41670196"/>
    <w:rsid w:val="42736B67"/>
    <w:rsid w:val="43D445BB"/>
    <w:rsid w:val="47B20A58"/>
    <w:rsid w:val="4A796450"/>
    <w:rsid w:val="4B60103E"/>
    <w:rsid w:val="4CFF65AF"/>
    <w:rsid w:val="4F1428B3"/>
    <w:rsid w:val="537062B7"/>
    <w:rsid w:val="57D535F7"/>
    <w:rsid w:val="586C15C6"/>
    <w:rsid w:val="58806626"/>
    <w:rsid w:val="5D7938C0"/>
    <w:rsid w:val="60D720E0"/>
    <w:rsid w:val="62922058"/>
    <w:rsid w:val="720E4E8D"/>
    <w:rsid w:val="726D3C91"/>
    <w:rsid w:val="745D61E5"/>
    <w:rsid w:val="746332D6"/>
    <w:rsid w:val="780B4ACF"/>
    <w:rsid w:val="785A5C57"/>
    <w:rsid w:val="794C38BE"/>
    <w:rsid w:val="7C584EE5"/>
    <w:rsid w:val="7CBE5A92"/>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afterLines="0" w:line="480" w:lineRule="auto"/>
      <w:ind w:left="420" w:leftChars="200"/>
    </w:pPr>
  </w:style>
  <w:style w:type="paragraph" w:styleId="3">
    <w:name w:val="Body Text"/>
    <w:basedOn w:val="1"/>
    <w:qFormat/>
    <w:uiPriority w:val="0"/>
    <w:pPr>
      <w:spacing w:after="120" w:line="240" w:lineRule="auto"/>
      <w:ind w:left="0" w:firstLine="0" w:firstLineChars="0"/>
      <w:jc w:val="both"/>
    </w:pPr>
    <w:rPr>
      <w:rFonts w:ascii="Times New Roman" w:hAnsi="Times New Roman"/>
      <w:sz w:val="21"/>
      <w:szCs w:val="24"/>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uiPriority w:val="0"/>
    <w:rPr>
      <w:i/>
      <w:iCs/>
    </w:rPr>
  </w:style>
  <w:style w:type="character" w:styleId="10">
    <w:name w:val="Hyperlink"/>
    <w:basedOn w:val="6"/>
    <w:qFormat/>
    <w:uiPriority w:val="0"/>
    <w:rPr>
      <w:color w:val="333333"/>
      <w:u w:val="none"/>
    </w:rPr>
  </w:style>
  <w:style w:type="character" w:styleId="11">
    <w:name w:val="HTML Code"/>
    <w:basedOn w:val="6"/>
    <w:qFormat/>
    <w:uiPriority w:val="0"/>
    <w:rPr>
      <w:rFonts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Body text|1_"/>
    <w:basedOn w:val="6"/>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Header or footer|2_"/>
    <w:basedOn w:val="6"/>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Heading #1|1_"/>
    <w:basedOn w:val="6"/>
    <w:link w:val="19"/>
    <w:qFormat/>
    <w:uiPriority w:val="0"/>
    <w:rPr>
      <w:rFonts w:ascii="宋体" w:hAnsi="宋体" w:eastAsia="宋体" w:cs="宋体"/>
      <w:sz w:val="34"/>
      <w:szCs w:val="34"/>
      <w:u w:val="none"/>
      <w:shd w:val="clear" w:color="auto" w:fill="FFFFFF"/>
      <w:lang w:val="zh-TW" w:eastAsia="zh-TW" w:bidi="zh-TW"/>
    </w:rPr>
  </w:style>
  <w:style w:type="paragraph" w:customStyle="1" w:styleId="19">
    <w:name w:val="Heading #1|1"/>
    <w:basedOn w:val="1"/>
    <w:link w:val="18"/>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0">
    <w:name w:val="Header or footer|1_"/>
    <w:basedOn w:val="6"/>
    <w:link w:val="21"/>
    <w:qFormat/>
    <w:uiPriority w:val="0"/>
    <w:rPr>
      <w:sz w:val="17"/>
      <w:szCs w:val="17"/>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sz w:val="17"/>
      <w:szCs w:val="17"/>
      <w:u w:val="none"/>
      <w:shd w:val="clear" w:color="auto" w:fill="auto"/>
      <w:lang w:val="zh-TW" w:eastAsia="zh-TW" w:bidi="zh-TW"/>
    </w:rPr>
  </w:style>
  <w:style w:type="character" w:customStyle="1" w:styleId="22">
    <w:name w:val="Table of contents|1_"/>
    <w:basedOn w:val="6"/>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Table of contents|1"/>
    <w:basedOn w:val="1"/>
    <w:link w:val="22"/>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4">
    <w:name w:val="zwxxgk_bnt6"/>
    <w:basedOn w:val="6"/>
    <w:qFormat/>
    <w:uiPriority w:val="0"/>
  </w:style>
  <w:style w:type="character" w:customStyle="1" w:styleId="25">
    <w:name w:val="zwxxgk_bnt61"/>
    <w:basedOn w:val="6"/>
    <w:qFormat/>
    <w:uiPriority w:val="0"/>
  </w:style>
  <w:style w:type="character" w:customStyle="1" w:styleId="26">
    <w:name w:val="zwxxgk_bnt62"/>
    <w:basedOn w:val="6"/>
    <w:qFormat/>
    <w:uiPriority w:val="0"/>
  </w:style>
  <w:style w:type="character" w:customStyle="1" w:styleId="27">
    <w:name w:val="zwxxgk_bnt5"/>
    <w:basedOn w:val="6"/>
    <w:qFormat/>
    <w:uiPriority w:val="0"/>
  </w:style>
  <w:style w:type="character" w:customStyle="1" w:styleId="28">
    <w:name w:val="zwxxgk_bnt51"/>
    <w:basedOn w:val="6"/>
    <w:qFormat/>
    <w:uiPriority w:val="0"/>
  </w:style>
  <w:style w:type="character" w:customStyle="1" w:styleId="29">
    <w:name w:val="zwxxgk_bnt52"/>
    <w:basedOn w:val="6"/>
    <w:qFormat/>
    <w:uiPriority w:val="0"/>
  </w:style>
  <w:style w:type="character" w:customStyle="1" w:styleId="30">
    <w:name w:val="NormalCharacter"/>
    <w:link w:val="1"/>
    <w:semiHidden/>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5957</Words>
  <Characters>6774</Characters>
  <TotalTime>3</TotalTime>
  <ScaleCrop>false</ScaleCrop>
  <LinksUpToDate>false</LinksUpToDate>
  <CharactersWithSpaces>6838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2022-09-20T08:47:50Z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2291A53058864B0FB913E45F5841427A</vt:lpwstr>
  </property>
</Properties>
</file>