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东乡族自治县幸福学校</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（一）制定符合党的教育方针和国家教育法律法规的小学教育发展规划并抓好组织实施和落实工作。</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（二）贯彻、执行教育法律法规和政策规定，坚持依法治教、依法治学。巩固提高“两基”工作成果和整体水平，配合教育局依法动员、组织适龄儿童少年入学，严格控制辍学，巩固两基成果。</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（三）指导、管理、检查、评价学区内学校的教育教学工作，提高办学质量和办学效益。</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（四）负责教育教学管理及教研教改工作，全力推进素质教育实施。</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（五）协助上级教育主管部门做好学区教师考核工作，负责教师管理、继续教育、考核考评等工作。</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（六）负责财务管理，筹措资金，改善办学条件等工作。</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（七）完成当地政府和教育部门安排的各项工作任务。</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根据上述职责，东乡族自治县</w:t>
      </w:r>
      <w:r>
        <w:rPr>
          <w:rFonts w:hint="eastAsia" w:ascii="仿宋_GB2312" w:hAnsi="黑体" w:eastAsia="仿宋_GB2312"/>
          <w:sz w:val="32"/>
          <w:szCs w:val="32"/>
          <w:highlight w:val="none"/>
          <w:lang w:val="en-US" w:eastAsia="zh-CN"/>
        </w:rPr>
        <w:t>幸福学校</w:t>
      </w:r>
      <w:r>
        <w:rPr>
          <w:rFonts w:hint="eastAsia" w:ascii="仿宋_GB2312" w:hAnsi="黑体" w:eastAsia="仿宋_GB2312"/>
          <w:sz w:val="32"/>
          <w:szCs w:val="32"/>
          <w:highlight w:val="none"/>
        </w:rPr>
        <w:t>内设3个职能处（组、室）：</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1．办公室</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主要职责：配合教育局制定符合党的教育方针和国家教育法律法规的教育发展规划并抓好组织实施和落实工作；贯彻、执行教育法律法规和政策规定，坚持依法治教、依法治学。巩固提高“两基”工作成果和整体水平，配合教育局依法动员、组织适龄儿童少年入学，严格控制辍学，推进普及九年义务教育；指导、管理、检查、评价学校的教育教学工作，提高办学质量和办学效益；负责教育教学管理及教研教改工作，全力推进素质教育实施；协助上级教育主管部门做好学校教师考核工作，负责教师管理、继续教育、考核考评等工作；负责财务管理，筹措资金，改善办学条件等工作。</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2．教务处</w:t>
      </w:r>
    </w:p>
    <w:p>
      <w:pPr>
        <w:spacing w:line="780" w:lineRule="exact"/>
        <w:ind w:firstLine="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rPr>
        <w:t>主要职责：协助校长制定并实施教育、教学工作计划；检查并总结学校的教育教学工作；组织管理教学工作，指导各科教师贯彻课程标准，执行教学计划，开展各种教学、教研活动，提高教学质量；协助校长室、党支部、少先队对学生进行思想政治教育，有针对性的开展教育活动，向学生进行劳动教育，组织校外活动和家长会；组织安排学生的体育卫生和生活管理工作，抓好“两课”、“两操”（体育课、活动课、课间操、眼保健操和大课间活动）和学校体育运动会。搞好卫生保健工作，关心师生的身心健康；组织有关人员搞好招生、编班、学籍管理、考勤考绩、课程表编排、资料以及资料室、图书室、实验室、电教室的有关工作；每学期末对教学工作，思想教育工作和体育卫生工作，进行一次书面总结，向校长汇报。组织教师总结教学经验，积极开展期末或学年末的评优奖励活动。</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3．教研组</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主要职责：领导并定期召开教研组会议，指导教研组制订具体教学工作计划，指导教研组的研究活动，帮助教研组总结交流教学经验；深入课堂听课，定期召开部分教师和学生的座谈会；组织好“三课”（示范课、公开课、优质课），对外公开课的赛教活动；组织开展学科竞赛和各科课外科技活动；负责科研课题的实施；与教导处共同负责“教坛新秀”、“教学能手”、“学科带头人”的评选推荐工作。</w:t>
      </w: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hint="eastAsia" w:ascii="黑体" w:hAnsi="黑体" w:eastAsia="黑体"/>
          <w:sz w:val="32"/>
          <w:szCs w:val="32"/>
          <w:highlight w:val="none"/>
          <w:lang w:eastAsia="zh-CN"/>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both"/>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2022年预算收入7255254.33元，其中：一般公共预算财政拨款收入7255254.33，政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7255254.33</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36676.00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36676.00</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691214.47元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教育支出5731750.00元。</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卫生健康支出283603.14元。</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住房保障支出512010.72元。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7217058.33</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（一）一般公共服务支出（类）群众团体事务（款）</w:t>
      </w:r>
      <w:r>
        <w:rPr>
          <w:rFonts w:hint="eastAsia" w:ascii="仿宋_GB2312" w:hAnsi="黑体" w:eastAsia="仿宋_GB2312"/>
          <w:sz w:val="32"/>
          <w:szCs w:val="32"/>
          <w:highlight w:val="none"/>
        </w:rPr>
        <w:t>2022年预算支出36676.00元。其中：</w:t>
      </w:r>
      <w:r>
        <w:rPr>
          <w:rFonts w:hint="eastAsia" w:ascii="仿宋_GB2312" w:hAnsi="黑体" w:eastAsia="仿宋_GB2312"/>
          <w:sz w:val="32"/>
          <w:szCs w:val="32"/>
          <w:highlight w:val="none"/>
          <w:lang w:val="en-US" w:eastAsia="zh-CN"/>
        </w:rPr>
        <w:t>工会事务</w:t>
      </w:r>
      <w:r>
        <w:rPr>
          <w:rFonts w:hint="eastAsia" w:ascii="仿宋_GB2312" w:hAnsi="黑体" w:eastAsia="仿宋_GB2312"/>
          <w:sz w:val="32"/>
          <w:szCs w:val="32"/>
          <w:highlight w:val="none"/>
        </w:rPr>
        <w:t>（项）2022年预算支出36676.00元。</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楷体_GB2312" w:hAnsi="黑体" w:eastAsia="楷体_GB2312"/>
          <w:b/>
          <w:sz w:val="32"/>
          <w:szCs w:val="32"/>
          <w:highlight w:val="none"/>
        </w:rPr>
        <w:t>行政事业单位养老支出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2022年预算支出682680.96元，其中：</w:t>
      </w:r>
      <w:r>
        <w:rPr>
          <w:rFonts w:hint="eastAsia" w:ascii="仿宋_GB2312" w:hAnsi="黑体" w:eastAsia="仿宋_GB2312"/>
          <w:sz w:val="32"/>
          <w:szCs w:val="32"/>
          <w:highlight w:val="none"/>
          <w:lang w:val="en-US" w:eastAsia="zh-CN"/>
        </w:rPr>
        <w:t>机关事业单位基本养老保险缴费支出</w:t>
      </w:r>
      <w:r>
        <w:rPr>
          <w:rFonts w:hint="eastAsia" w:ascii="仿宋_GB2312" w:hAnsi="黑体" w:eastAsia="仿宋_GB2312"/>
          <w:sz w:val="32"/>
          <w:szCs w:val="32"/>
          <w:highlight w:val="none"/>
        </w:rPr>
        <w:t>（项）2022年预算支出682680.96元。</w:t>
      </w:r>
      <w:r>
        <w:rPr>
          <w:rFonts w:hint="eastAsia" w:ascii="楷体_GB2312" w:hAnsi="黑体" w:eastAsia="楷体_GB2312"/>
          <w:b/>
          <w:sz w:val="32"/>
          <w:szCs w:val="32"/>
          <w:highlight w:val="none"/>
        </w:rPr>
        <w:t>财政对其他社会保险基金的补助（款）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年预算支出8533.51元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val="en-US" w:eastAsia="zh-CN"/>
        </w:rPr>
        <w:t>财政对工伤保险基金的补助</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年预算支出8533.51元</w:t>
      </w:r>
      <w:r>
        <w:rPr>
          <w:rFonts w:hint="eastAsia" w:ascii="仿宋_GB2312" w:hAnsi="黑体" w:eastAsia="仿宋_GB2312"/>
          <w:sz w:val="32"/>
          <w:szCs w:val="32"/>
          <w:highlight w:val="none"/>
          <w:lang w:eastAsia="zh-CN"/>
        </w:rPr>
        <w:t>。</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lang w:eastAsia="zh-CN"/>
        </w:rPr>
        <w:t>）教育支出（类）普</w:t>
      </w:r>
      <w:r>
        <w:rPr>
          <w:rFonts w:hint="eastAsia" w:ascii="仿宋_GB2312" w:hAnsi="黑体" w:eastAsia="仿宋_GB2312"/>
          <w:b/>
          <w:bCs/>
          <w:sz w:val="32"/>
          <w:szCs w:val="32"/>
          <w:highlight w:val="none"/>
          <w:lang w:eastAsia="zh-CN"/>
        </w:rPr>
        <w:t>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b w:val="0"/>
          <w:bCs w:val="0"/>
          <w:sz w:val="32"/>
          <w:szCs w:val="32"/>
          <w:highlight w:val="none"/>
        </w:rPr>
        <w:t>5731750.00</w:t>
      </w:r>
      <w:r>
        <w:rPr>
          <w:rFonts w:hint="eastAsia" w:ascii="仿宋_GB2312" w:hAnsi="黑体" w:eastAsia="仿宋_GB2312"/>
          <w:b w:val="0"/>
          <w:bCs w:val="0"/>
          <w:sz w:val="32"/>
          <w:szCs w:val="32"/>
          <w:highlight w:val="none"/>
          <w:lang w:val="en-US" w:eastAsia="zh-CN"/>
        </w:rPr>
        <w:t>元，其中：小学教育</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年预算支出5693554.00</w:t>
      </w:r>
      <w:r>
        <w:rPr>
          <w:rFonts w:hint="eastAsia" w:ascii="仿宋_GB2312" w:hAnsi="黑体" w:eastAsia="仿宋_GB2312"/>
          <w:sz w:val="32"/>
          <w:szCs w:val="32"/>
          <w:highlight w:val="none"/>
          <w:lang w:val="en-US" w:eastAsia="zh-CN"/>
        </w:rPr>
        <w:t>元；其他普通教育支出</w:t>
      </w:r>
      <w:r>
        <w:rPr>
          <w:rFonts w:hint="eastAsia" w:ascii="仿宋_GB2312" w:hAnsi="黑体" w:eastAsia="仿宋_GB2312"/>
          <w:sz w:val="32"/>
          <w:szCs w:val="32"/>
          <w:highlight w:val="none"/>
        </w:rPr>
        <w:t>（项）2022年预算支出38196.00</w:t>
      </w:r>
      <w:r>
        <w:rPr>
          <w:rFonts w:hint="eastAsia" w:ascii="仿宋_GB2312" w:hAnsi="黑体" w:eastAsia="仿宋_GB2312"/>
          <w:sz w:val="32"/>
          <w:szCs w:val="32"/>
          <w:highlight w:val="none"/>
          <w:lang w:val="en-US" w:eastAsia="zh-CN"/>
        </w:rPr>
        <w:t>元。</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2022年预算支出283603.14</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2022年预算支出283603.14</w:t>
      </w:r>
      <w:r>
        <w:rPr>
          <w:rFonts w:hint="eastAsia" w:ascii="仿宋_GB2312" w:hAnsi="黑体" w:eastAsia="仿宋_GB2312"/>
          <w:sz w:val="32"/>
          <w:szCs w:val="32"/>
          <w:highlight w:val="none"/>
          <w:lang w:val="en-US" w:eastAsia="zh-CN"/>
        </w:rPr>
        <w:t>元。</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lang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2022年预算支出512010.72</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2022年预算支出512010.72</w:t>
      </w:r>
      <w:r>
        <w:rPr>
          <w:rFonts w:hint="eastAsia" w:ascii="仿宋_GB2312" w:hAnsi="黑体" w:eastAsia="仿宋_GB2312"/>
          <w:sz w:val="32"/>
          <w:szCs w:val="32"/>
          <w:highlight w:val="none"/>
          <w:lang w:val="en-US" w:eastAsia="zh-CN"/>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2022年一般公共</w:t>
      </w:r>
      <w:r>
        <w:rPr>
          <w:rFonts w:hint="eastAsia" w:ascii="仿宋_GB2312" w:hAnsi="宋体" w:eastAsia="仿宋_GB2312"/>
          <w:sz w:val="32"/>
          <w:szCs w:val="32"/>
          <w:highlight w:val="none"/>
          <w:lang w:val="en-US" w:eastAsia="zh-CN"/>
        </w:rPr>
        <w:t>预算基本支出7217058.33元，其中：人员经费7217058.33元，专项资金38196.00元。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bookmarkStart w:id="0" w:name="_GoBack"/>
      <w:bookmarkEnd w:id="0"/>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9707C2F"/>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5B0F5AA1"/>
    <w:rsid w:val="61EF1B1B"/>
    <w:rsid w:val="621A3658"/>
    <w:rsid w:val="62B62979"/>
    <w:rsid w:val="64252B6E"/>
    <w:rsid w:val="651520BC"/>
    <w:rsid w:val="661A6258"/>
    <w:rsid w:val="6A136FDE"/>
    <w:rsid w:val="6A752B54"/>
    <w:rsid w:val="6EA6456E"/>
    <w:rsid w:val="723906FB"/>
    <w:rsid w:val="72753011"/>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3129</Words>
  <Characters>3346</Characters>
  <Lines>16</Lines>
  <Paragraphs>4</Paragraphs>
  <TotalTime>0</TotalTime>
  <ScaleCrop>false</ScaleCrop>
  <LinksUpToDate>false</LinksUpToDate>
  <CharactersWithSpaces>3400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2023-06-05T03:49:05Z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