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52"/>
          <w:szCs w:val="52"/>
          <w:highlight w:val="none"/>
        </w:rPr>
      </w:pPr>
    </w:p>
    <w:p>
      <w:pPr>
        <w:jc w:val="center"/>
        <w:rPr>
          <w:rFonts w:ascii="方正小标宋简体" w:eastAsia="方正小标宋简体"/>
          <w:color w:val="auto"/>
          <w:sz w:val="52"/>
          <w:szCs w:val="52"/>
          <w:highlight w:val="none"/>
        </w:rPr>
      </w:pPr>
    </w:p>
    <w:p>
      <w:pPr>
        <w:jc w:val="center"/>
        <w:rPr>
          <w:rFonts w:ascii="楷体" w:hAnsi="楷体" w:eastAsia="楷体"/>
          <w:color w:val="auto"/>
          <w:sz w:val="30"/>
          <w:szCs w:val="30"/>
          <w:highlight w:val="none"/>
        </w:rPr>
      </w:pPr>
      <w:r>
        <w:rPr>
          <w:rFonts w:hint="eastAsia" w:ascii="方正小标宋简体" w:eastAsia="方正小标宋简体"/>
          <w:color w:val="auto"/>
          <w:sz w:val="72"/>
          <w:szCs w:val="72"/>
          <w:highlight w:val="none"/>
          <w:lang w:val="en-US" w:eastAsia="zh-CN"/>
        </w:rPr>
        <w:t>东乡县农业农村局</w:t>
      </w:r>
      <w:r>
        <w:rPr>
          <w:rFonts w:hint="eastAsia" w:ascii="方正小标宋简体" w:eastAsia="方正小标宋简体"/>
          <w:color w:val="auto"/>
          <w:sz w:val="72"/>
          <w:szCs w:val="72"/>
          <w:highlight w:val="none"/>
        </w:rPr>
        <w:t>部门</w:t>
      </w:r>
      <w:r>
        <w:rPr>
          <w:rFonts w:hint="eastAsia" w:ascii="方正小标宋简体" w:eastAsia="方正小标宋简体"/>
          <w:color w:val="auto"/>
          <w:sz w:val="72"/>
          <w:szCs w:val="72"/>
          <w:highlight w:val="none"/>
        </w:rPr>
        <w:t>预算</w:t>
      </w:r>
    </w:p>
    <w:p>
      <w:pPr>
        <w:jc w:val="center"/>
        <w:rPr>
          <w:rFonts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（2022年度）</w:t>
      </w:r>
    </w:p>
    <w:p>
      <w:pPr>
        <w:tabs>
          <w:tab w:val="left" w:pos="12150"/>
        </w:tabs>
        <w:jc w:val="left"/>
        <w:rPr>
          <w:rFonts w:ascii="方正小标宋简体" w:eastAsia="方正小标宋简体"/>
          <w:color w:val="auto"/>
          <w:sz w:val="48"/>
          <w:szCs w:val="48"/>
          <w:highlight w:val="none"/>
        </w:rPr>
      </w:pPr>
      <w:r>
        <w:rPr>
          <w:rFonts w:ascii="方正小标宋简体" w:eastAsia="方正小标宋简体"/>
          <w:color w:val="auto"/>
          <w:sz w:val="48"/>
          <w:szCs w:val="48"/>
          <w:highlight w:val="none"/>
        </w:rPr>
        <w:tab/>
      </w: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p>
    <w:p>
      <w:pPr>
        <w:jc w:val="center"/>
        <w:rPr>
          <w:rFonts w:hint="eastAsia"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2022年5月</w:t>
      </w:r>
    </w:p>
    <w:p>
      <w:pPr>
        <w:pStyle w:val="2"/>
        <w:rPr>
          <w:rFonts w:hint="eastAsia" w:ascii="方正小标宋简体" w:eastAsia="方正小标宋简体"/>
          <w:color w:val="auto"/>
          <w:sz w:val="48"/>
          <w:szCs w:val="48"/>
          <w:highlight w:val="none"/>
        </w:rPr>
      </w:pPr>
    </w:p>
    <w:p>
      <w:pPr>
        <w:pStyle w:val="2"/>
        <w:rPr>
          <w:rFonts w:hint="eastAsia" w:ascii="方正小标宋简体" w:eastAsia="方正小标宋简体"/>
          <w:color w:val="auto"/>
          <w:sz w:val="48"/>
          <w:szCs w:val="48"/>
          <w:highlight w:val="none"/>
        </w:rPr>
      </w:pP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    录</w:t>
      </w:r>
    </w:p>
    <w:p>
      <w:pPr>
        <w:rPr>
          <w:rFonts w:ascii="仿宋_GB2312" w:hAnsi="黑体" w:eastAsia="仿宋_GB2312"/>
          <w:color w:val="auto"/>
          <w:sz w:val="32"/>
          <w:szCs w:val="32"/>
          <w:highlight w:val="none"/>
        </w:rPr>
      </w:pP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第一部分  部门概况</w:t>
      </w:r>
    </w:p>
    <w:p>
      <w:pPr>
        <w:spacing w:line="640" w:lineRule="exact"/>
        <w:ind w:firstLine="1564" w:firstLineChars="489"/>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一、部门职责</w:t>
      </w:r>
    </w:p>
    <w:p>
      <w:pPr>
        <w:spacing w:line="640" w:lineRule="exact"/>
        <w:ind w:firstLine="1590" w:firstLineChars="497"/>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二、机构设置</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第二部分  2022年部门预算表格</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一、2022年部门收支总表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二、2022年部门收入总表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三、2022年部门支出总表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四、2022年部门财政拨款收支总表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五、2022年部门一般公共预算支出表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六、2022年部门政府性基金预算支出表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七、2022年部门预算经济分类和对应的政府预算经济分类基本支出预算明细表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九、2022年部门政府采购预算表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十、2022年部门“三公”经费预算财政拨款情况表</w:t>
      </w:r>
      <w:r>
        <w:rPr>
          <w:rFonts w:hint="eastAsia" w:ascii="仿宋_GB2312" w:hAnsi="黑体" w:eastAsia="仿宋_GB2312"/>
          <w:color w:val="auto"/>
          <w:sz w:val="32"/>
          <w:szCs w:val="32"/>
          <w:highlight w:val="none"/>
        </w:rPr>
        <w:tab/>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第三部分  部门预算情况说明</w:t>
      </w:r>
    </w:p>
    <w:p>
      <w:pPr>
        <w:spacing w:line="640" w:lineRule="exact"/>
        <w:ind w:firstLine="1285" w:firstLineChars="4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 xml:space="preserve">  </w:t>
      </w:r>
      <w:r>
        <w:rPr>
          <w:rFonts w:hint="eastAsia" w:ascii="仿宋_GB2312" w:hAnsi="黑体" w:eastAsia="仿宋_GB2312"/>
          <w:color w:val="auto"/>
          <w:sz w:val="32"/>
          <w:szCs w:val="32"/>
          <w:highlight w:val="none"/>
        </w:rPr>
        <w:t>一、部门预算总体说明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二、部门一般公共预算支出情况说明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三、部门一般公共预算基本支出情况说明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四、部门“三公”经费情况说明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五、部门机关运行经费及政府采购预算情况说明</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第四部分  名词解释</w:t>
      </w: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pStyle w:val="2"/>
        <w:rPr>
          <w:rFonts w:ascii="仿宋_GB2312" w:hAnsi="黑体" w:eastAsia="仿宋_GB2312"/>
          <w:b/>
          <w:color w:val="auto"/>
          <w:sz w:val="44"/>
          <w:szCs w:val="44"/>
          <w:highlight w:val="none"/>
        </w:rPr>
      </w:pPr>
    </w:p>
    <w:p>
      <w:pPr>
        <w:pStyle w:val="2"/>
        <w:rPr>
          <w:rFonts w:ascii="仿宋_GB2312" w:hAnsi="黑体" w:eastAsia="仿宋_GB2312"/>
          <w:b/>
          <w:color w:val="auto"/>
          <w:sz w:val="44"/>
          <w:szCs w:val="44"/>
          <w:highlight w:val="none"/>
        </w:rPr>
      </w:pPr>
    </w:p>
    <w:p>
      <w:pPr>
        <w:pStyle w:val="2"/>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52"/>
          <w:szCs w:val="52"/>
          <w:highlight w:val="none"/>
        </w:rPr>
      </w:pPr>
      <w:r>
        <w:rPr>
          <w:rFonts w:hint="eastAsia" w:ascii="仿宋_GB2312" w:hAnsi="黑体" w:eastAsia="仿宋_GB2312"/>
          <w:b/>
          <w:color w:val="auto"/>
          <w:sz w:val="52"/>
          <w:szCs w:val="52"/>
          <w:highlight w:val="none"/>
        </w:rPr>
        <w:t>第一部分  部门概况</w:t>
      </w:r>
    </w:p>
    <w:p>
      <w:pPr>
        <w:spacing w:line="640" w:lineRule="exact"/>
        <w:rPr>
          <w:rFonts w:ascii="黑体" w:hAnsi="黑体" w:eastAsia="黑体"/>
          <w:color w:val="auto"/>
          <w:sz w:val="32"/>
          <w:szCs w:val="32"/>
          <w:highlight w:val="none"/>
        </w:rPr>
      </w:pPr>
      <w:r>
        <w:rPr>
          <w:rFonts w:hint="eastAsia" w:ascii="仿宋_GB2312" w:hAnsi="黑体" w:eastAsia="仿宋_GB2312"/>
          <w:color w:val="auto"/>
          <w:sz w:val="32"/>
          <w:szCs w:val="32"/>
          <w:highlight w:val="none"/>
        </w:rPr>
        <w:t xml:space="preserve">  </w:t>
      </w:r>
    </w:p>
    <w:p>
      <w:pPr>
        <w:numPr>
          <w:ilvl w:val="0"/>
          <w:numId w:val="1"/>
        </w:numPr>
        <w:spacing w:line="64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部门职责</w:t>
      </w:r>
    </w:p>
    <w:p>
      <w:pPr>
        <w:spacing w:line="560" w:lineRule="exact"/>
        <w:ind w:firstLine="600" w:firstLineChars="200"/>
        <w:jc w:val="both"/>
        <w:textAlignment w:val="baseline"/>
        <w:rPr>
          <w:rFonts w:hint="default" w:ascii="仿宋_GB2312" w:hAnsi="Calibri" w:eastAsia="仿宋_GB2312" w:cs="黑体"/>
          <w:color w:val="auto"/>
          <w:kern w:val="2"/>
          <w:sz w:val="30"/>
          <w:szCs w:val="30"/>
          <w:highlight w:val="none"/>
          <w:lang w:val="en-US" w:eastAsia="zh-CN" w:bidi="ar-SA"/>
        </w:rPr>
      </w:pPr>
      <w:r>
        <w:rPr>
          <w:rFonts w:hint="eastAsia" w:ascii="仿宋_GB2312" w:hAnsi="Calibri" w:eastAsia="仿宋_GB2312" w:cs="黑体"/>
          <w:color w:val="auto"/>
          <w:kern w:val="2"/>
          <w:sz w:val="30"/>
          <w:szCs w:val="30"/>
          <w:highlight w:val="none"/>
          <w:lang w:val="en-US" w:eastAsia="zh-CN" w:bidi="ar-SA"/>
        </w:rPr>
        <w:t>农业农村局主要统筹推动全县发展农村社会事业、农村公共服务、农村文化、农村基础设施、乡村治理、畜牧发展、农技产品质量监督、农技服务体系建设和农村能源建设。牵头组织改善农村人居环境。指导农村精神文明和优秀农耕文化建设，指导农业行业安全生产。</w:t>
      </w:r>
    </w:p>
    <w:p>
      <w:pPr>
        <w:spacing w:line="640" w:lineRule="exact"/>
        <w:ind w:firstLine="645"/>
        <w:rPr>
          <w:rFonts w:ascii="黑体" w:hAnsi="黑体" w:eastAsia="黑体"/>
          <w:color w:val="auto"/>
          <w:sz w:val="32"/>
          <w:szCs w:val="32"/>
          <w:highlight w:val="none"/>
        </w:rPr>
      </w:pPr>
      <w:r>
        <w:rPr>
          <w:rFonts w:hint="eastAsia" w:ascii="黑体" w:hAnsi="黑体" w:eastAsia="黑体"/>
          <w:color w:val="auto"/>
          <w:sz w:val="32"/>
          <w:szCs w:val="32"/>
          <w:highlight w:val="none"/>
        </w:rPr>
        <w:t>二、机构设置</w:t>
      </w:r>
    </w:p>
    <w:p>
      <w:pPr>
        <w:spacing w:line="560" w:lineRule="exact"/>
        <w:ind w:firstLine="600" w:firstLineChars="200"/>
        <w:jc w:val="both"/>
        <w:textAlignment w:val="baseline"/>
        <w:rPr>
          <w:rStyle w:val="13"/>
          <w:rFonts w:hint="eastAsia" w:ascii="仿宋_GB2312" w:eastAsia="仿宋_GB2312"/>
          <w:color w:val="auto"/>
          <w:kern w:val="2"/>
          <w:sz w:val="32"/>
          <w:szCs w:val="32"/>
          <w:highlight w:val="none"/>
          <w:lang w:val="en-US" w:eastAsia="zh-CN" w:bidi="ar-SA"/>
        </w:rPr>
      </w:pPr>
      <w:r>
        <w:rPr>
          <w:rFonts w:hint="eastAsia" w:ascii="仿宋_GB2312" w:hAnsi="Calibri" w:eastAsia="仿宋_GB2312" w:cs="黑体"/>
          <w:color w:val="auto"/>
          <w:kern w:val="2"/>
          <w:sz w:val="30"/>
          <w:szCs w:val="30"/>
          <w:highlight w:val="none"/>
          <w:lang w:val="en-US" w:eastAsia="zh-CN" w:bidi="ar-SA"/>
        </w:rPr>
        <w:t>东乡族自治县</w:t>
      </w:r>
      <w:r>
        <w:rPr>
          <w:rStyle w:val="13"/>
          <w:rFonts w:hint="eastAsia" w:ascii="仿宋_GB2312" w:eastAsia="仿宋_GB2312"/>
          <w:color w:val="auto"/>
          <w:kern w:val="2"/>
          <w:sz w:val="32"/>
          <w:szCs w:val="32"/>
          <w:highlight w:val="none"/>
          <w:lang w:val="en-US" w:eastAsia="zh-CN" w:bidi="ar-SA"/>
        </w:rPr>
        <w:t>农业农村局</w:t>
      </w:r>
      <w:r>
        <w:rPr>
          <w:rFonts w:hint="eastAsia" w:ascii="仿宋_GB2312" w:hAnsi="Calibri" w:eastAsia="仿宋_GB2312" w:cs="黑体"/>
          <w:color w:val="auto"/>
          <w:kern w:val="2"/>
          <w:sz w:val="30"/>
          <w:szCs w:val="30"/>
          <w:highlight w:val="none"/>
          <w:lang w:val="en-US" w:eastAsia="zh-CN" w:bidi="ar-SA"/>
        </w:rPr>
        <w:t>内设办公室</w:t>
      </w:r>
      <w:r>
        <w:rPr>
          <w:rFonts w:hint="eastAsia" w:ascii="仿宋_GB2312" w:eastAsia="仿宋_GB2312" w:cs="黑体"/>
          <w:color w:val="auto"/>
          <w:kern w:val="2"/>
          <w:sz w:val="30"/>
          <w:szCs w:val="30"/>
          <w:highlight w:val="none"/>
          <w:lang w:val="en-US" w:eastAsia="zh-CN" w:bidi="ar-SA"/>
        </w:rPr>
        <w:t>（执法队）</w:t>
      </w:r>
      <w:r>
        <w:rPr>
          <w:rFonts w:hint="eastAsia" w:ascii="仿宋_GB2312" w:hAnsi="Calibri" w:eastAsia="仿宋_GB2312" w:cs="黑体"/>
          <w:color w:val="auto"/>
          <w:kern w:val="2"/>
          <w:sz w:val="30"/>
          <w:szCs w:val="30"/>
          <w:highlight w:val="none"/>
          <w:lang w:val="en-US" w:eastAsia="zh-CN" w:bidi="ar-SA"/>
        </w:rPr>
        <w:t>、</w:t>
      </w:r>
      <w:r>
        <w:rPr>
          <w:rFonts w:hint="eastAsia" w:ascii="仿宋_GB2312" w:eastAsia="仿宋_GB2312" w:cs="黑体"/>
          <w:color w:val="auto"/>
          <w:kern w:val="2"/>
          <w:sz w:val="30"/>
          <w:szCs w:val="30"/>
          <w:highlight w:val="none"/>
          <w:lang w:val="en-US" w:eastAsia="zh-CN" w:bidi="ar-SA"/>
        </w:rPr>
        <w:t>农村改革与经营管理股、种植业管理</w:t>
      </w:r>
      <w:r>
        <w:rPr>
          <w:rFonts w:hint="eastAsia" w:ascii="仿宋_GB2312" w:hAnsi="Calibri" w:eastAsia="仿宋_GB2312" w:cs="黑体"/>
          <w:color w:val="auto"/>
          <w:kern w:val="2"/>
          <w:sz w:val="30"/>
          <w:szCs w:val="30"/>
          <w:highlight w:val="none"/>
          <w:lang w:val="en-US" w:eastAsia="zh-CN" w:bidi="ar-SA"/>
        </w:rPr>
        <w:t>股、</w:t>
      </w:r>
      <w:r>
        <w:rPr>
          <w:rFonts w:hint="eastAsia" w:ascii="仿宋_GB2312" w:eastAsia="仿宋_GB2312" w:cs="黑体"/>
          <w:color w:val="auto"/>
          <w:kern w:val="2"/>
          <w:sz w:val="30"/>
          <w:szCs w:val="30"/>
          <w:highlight w:val="none"/>
          <w:lang w:val="en-US" w:eastAsia="zh-CN" w:bidi="ar-SA"/>
        </w:rPr>
        <w:t>农田建设及农机管理股、新农村建设管理股、畜牧发展中心、农机服务中心和能源服务中心等8</w:t>
      </w:r>
      <w:r>
        <w:rPr>
          <w:rFonts w:hint="eastAsia" w:ascii="仿宋_GB2312" w:hAnsi="Calibri" w:eastAsia="仿宋_GB2312" w:cs="黑体"/>
          <w:color w:val="auto"/>
          <w:kern w:val="2"/>
          <w:sz w:val="30"/>
          <w:szCs w:val="30"/>
          <w:highlight w:val="none"/>
          <w:lang w:val="en-US" w:eastAsia="zh-CN" w:bidi="ar-SA"/>
        </w:rPr>
        <w:t>个职能股室</w:t>
      </w:r>
      <w:r>
        <w:rPr>
          <w:rFonts w:hint="eastAsia" w:ascii="仿宋_GB2312" w:eastAsia="仿宋_GB2312" w:cs="黑体"/>
          <w:color w:val="auto"/>
          <w:kern w:val="2"/>
          <w:sz w:val="30"/>
          <w:szCs w:val="30"/>
          <w:highlight w:val="none"/>
          <w:lang w:val="en-US" w:eastAsia="zh-CN" w:bidi="ar-SA"/>
        </w:rPr>
        <w:t>（中心）</w:t>
      </w:r>
      <w:r>
        <w:rPr>
          <w:rFonts w:hint="eastAsia" w:ascii="仿宋_GB2312" w:hAnsi="Calibri" w:eastAsia="仿宋_GB2312" w:cs="黑体"/>
          <w:color w:val="auto"/>
          <w:kern w:val="2"/>
          <w:sz w:val="30"/>
          <w:szCs w:val="30"/>
          <w:highlight w:val="none"/>
          <w:lang w:val="en-US" w:eastAsia="zh-CN" w:bidi="ar-SA"/>
        </w:rPr>
        <w:t>。</w:t>
      </w:r>
      <w:r>
        <w:rPr>
          <w:rStyle w:val="13"/>
          <w:rFonts w:hint="eastAsia" w:ascii="仿宋_GB2312" w:eastAsia="仿宋_GB2312"/>
          <w:color w:val="auto"/>
          <w:kern w:val="2"/>
          <w:sz w:val="32"/>
          <w:szCs w:val="32"/>
          <w:highlight w:val="none"/>
          <w:lang w:val="en-US" w:eastAsia="zh-CN" w:bidi="ar-SA"/>
        </w:rPr>
        <w:t>县农业农村局核定公务员编制11名，</w:t>
      </w:r>
      <w:r>
        <w:rPr>
          <w:rStyle w:val="13"/>
          <w:rFonts w:ascii="仿宋_GB2312" w:eastAsia="仿宋_GB2312"/>
          <w:color w:val="auto"/>
          <w:kern w:val="2"/>
          <w:sz w:val="32"/>
          <w:szCs w:val="32"/>
          <w:highlight w:val="none"/>
          <w:lang w:val="en-US" w:eastAsia="zh-CN" w:bidi="ar-SA"/>
        </w:rPr>
        <w:t>事业编制</w:t>
      </w:r>
      <w:r>
        <w:rPr>
          <w:rStyle w:val="13"/>
          <w:rFonts w:hint="eastAsia" w:ascii="仿宋_GB2312" w:eastAsia="仿宋_GB2312"/>
          <w:color w:val="auto"/>
          <w:kern w:val="2"/>
          <w:sz w:val="32"/>
          <w:szCs w:val="32"/>
          <w:highlight w:val="none"/>
          <w:lang w:val="en-US" w:eastAsia="zh-CN" w:bidi="ar-SA"/>
        </w:rPr>
        <w:t>305</w:t>
      </w:r>
      <w:r>
        <w:rPr>
          <w:rStyle w:val="13"/>
          <w:rFonts w:ascii="仿宋_GB2312" w:eastAsia="仿宋_GB2312"/>
          <w:color w:val="auto"/>
          <w:kern w:val="2"/>
          <w:sz w:val="32"/>
          <w:szCs w:val="32"/>
          <w:highlight w:val="none"/>
          <w:lang w:val="en-US" w:eastAsia="zh-CN" w:bidi="ar-SA"/>
        </w:rPr>
        <w:t>名</w:t>
      </w:r>
      <w:r>
        <w:rPr>
          <w:rStyle w:val="13"/>
          <w:rFonts w:hint="eastAsia" w:ascii="仿宋_GB2312" w:eastAsia="仿宋_GB2312"/>
          <w:color w:val="auto"/>
          <w:kern w:val="2"/>
          <w:sz w:val="32"/>
          <w:szCs w:val="32"/>
          <w:highlight w:val="none"/>
          <w:lang w:val="en-US" w:eastAsia="zh-CN" w:bidi="ar-SA"/>
        </w:rPr>
        <w:t>。</w:t>
      </w:r>
    </w:p>
    <w:p>
      <w:pPr>
        <w:pStyle w:val="2"/>
        <w:rPr>
          <w:rFonts w:hint="eastAsia"/>
          <w:color w:val="auto"/>
          <w:highlight w:val="none"/>
          <w:lang w:val="en-US" w:eastAsia="zh-CN"/>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hint="eastAsia" w:ascii="仿宋_GB2312" w:hAnsi="黑体" w:eastAsia="仿宋_GB2312"/>
          <w:b/>
          <w:color w:val="auto"/>
          <w:sz w:val="52"/>
          <w:szCs w:val="52"/>
          <w:highlight w:val="none"/>
        </w:rPr>
      </w:pPr>
    </w:p>
    <w:p>
      <w:pPr>
        <w:spacing w:line="640" w:lineRule="exact"/>
        <w:jc w:val="center"/>
        <w:rPr>
          <w:rFonts w:hint="eastAsia" w:ascii="仿宋_GB2312" w:hAnsi="黑体" w:eastAsia="仿宋_GB2312"/>
          <w:b/>
          <w:color w:val="auto"/>
          <w:sz w:val="52"/>
          <w:szCs w:val="52"/>
          <w:highlight w:val="none"/>
          <w:lang w:eastAsia="zh-CN"/>
        </w:rPr>
      </w:pPr>
      <w:r>
        <w:rPr>
          <w:rFonts w:hint="eastAsia" w:ascii="仿宋_GB2312" w:hAnsi="黑体" w:eastAsia="仿宋_GB2312"/>
          <w:b/>
          <w:color w:val="auto"/>
          <w:sz w:val="52"/>
          <w:szCs w:val="52"/>
          <w:highlight w:val="none"/>
        </w:rPr>
        <w:t>第二部分  2022年部门预算表格</w:t>
      </w:r>
    </w:p>
    <w:p>
      <w:pPr>
        <w:rPr>
          <w:color w:val="auto"/>
          <w:highlight w:val="none"/>
        </w:rPr>
        <w:sectPr>
          <w:pgSz w:w="16838" w:h="11906"/>
          <w:pgMar w:top="1011" w:right="2525" w:bottom="0" w:left="2525" w:header="0" w:footer="0" w:gutter="0"/>
          <w:cols w:space="720" w:num="1"/>
        </w:sectPr>
      </w:pPr>
    </w:p>
    <w:p>
      <w:pPr>
        <w:spacing w:line="840" w:lineRule="exact"/>
        <w:jc w:val="center"/>
        <w:rPr>
          <w:rFonts w:hint="eastAsia" w:ascii="仿宋_GB2312" w:hAnsi="黑体" w:eastAsia="仿宋_GB2312"/>
          <w:b/>
          <w:color w:val="auto"/>
          <w:sz w:val="52"/>
          <w:szCs w:val="52"/>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第三部分  部门预算情况说明</w:t>
      </w:r>
      <w:r>
        <w:rPr>
          <w:rFonts w:hint="eastAsia" w:ascii="仿宋_GB2312" w:hAnsi="黑体" w:eastAsia="仿宋_GB2312"/>
          <w:color w:val="auto"/>
          <w:sz w:val="32"/>
          <w:szCs w:val="32"/>
          <w:highlight w:val="none"/>
        </w:rPr>
        <w:t xml:space="preserve">  </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一、部门预算总体说明</w:t>
      </w:r>
    </w:p>
    <w:p>
      <w:pPr>
        <w:spacing w:line="640" w:lineRule="exact"/>
        <w:ind w:firstLine="640" w:firstLineChars="200"/>
        <w:rPr>
          <w:rFonts w:hint="default" w:ascii="仿宋_GB2312" w:hAnsi="宋体" w:eastAsia="仿宋_GB2312"/>
          <w:color w:val="auto"/>
          <w:sz w:val="32"/>
          <w:szCs w:val="32"/>
          <w:highlight w:val="none"/>
          <w:lang w:val="en-US" w:eastAsia="zh-CN"/>
        </w:rPr>
      </w:pPr>
      <w:r>
        <w:rPr>
          <w:rFonts w:hint="eastAsia" w:ascii="仿宋_GB2312" w:hAnsi="黑体" w:eastAsia="仿宋_GB2312"/>
          <w:color w:val="auto"/>
          <w:sz w:val="32"/>
          <w:szCs w:val="32"/>
          <w:highlight w:val="none"/>
        </w:rPr>
        <w:t>2022年预算收入</w:t>
      </w:r>
      <w:r>
        <w:rPr>
          <w:rFonts w:hint="eastAsia" w:ascii="仿宋_GB2312" w:hAnsi="黑体" w:eastAsia="仿宋_GB2312"/>
          <w:color w:val="auto"/>
          <w:sz w:val="32"/>
          <w:szCs w:val="32"/>
          <w:highlight w:val="none"/>
        </w:rPr>
        <w:t>48254132.05</w:t>
      </w:r>
      <w:r>
        <w:rPr>
          <w:rFonts w:hint="eastAsia" w:ascii="仿宋_GB2312" w:hAnsi="黑体" w:eastAsia="仿宋_GB2312"/>
          <w:color w:val="auto"/>
          <w:sz w:val="32"/>
          <w:szCs w:val="32"/>
          <w:highlight w:val="none"/>
        </w:rPr>
        <w:t>元，比上年预算</w:t>
      </w:r>
      <w:r>
        <w:rPr>
          <w:rFonts w:hint="eastAsia" w:ascii="仿宋_GB2312" w:hAnsi="黑体" w:eastAsia="仿宋_GB2312"/>
          <w:color w:val="auto"/>
          <w:sz w:val="32"/>
          <w:szCs w:val="32"/>
          <w:highlight w:val="none"/>
          <w:lang w:val="en-US" w:eastAsia="zh-CN"/>
        </w:rPr>
        <w:t>数下降</w:t>
      </w:r>
      <w:r>
        <w:rPr>
          <w:rFonts w:hint="eastAsia" w:ascii="仿宋_GB2312" w:hAnsi="宋体" w:eastAsia="仿宋_GB2312"/>
          <w:color w:val="auto"/>
          <w:sz w:val="32"/>
          <w:szCs w:val="32"/>
          <w:highlight w:val="none"/>
          <w:lang w:val="en-US" w:eastAsia="zh-CN"/>
        </w:rPr>
        <w:t>52.41%</w:t>
      </w:r>
      <w:r>
        <w:rPr>
          <w:rFonts w:hint="eastAsia" w:ascii="仿宋_GB2312" w:hAnsi="黑体" w:eastAsia="仿宋_GB2312"/>
          <w:color w:val="auto"/>
          <w:sz w:val="32"/>
          <w:szCs w:val="32"/>
          <w:highlight w:val="none"/>
        </w:rPr>
        <w:t>，其中：一般公共预算财政拨款收入</w:t>
      </w:r>
      <w:r>
        <w:rPr>
          <w:rFonts w:hint="eastAsia" w:ascii="仿宋_GB2312" w:hAnsi="黑体" w:eastAsia="仿宋_GB2312"/>
          <w:color w:val="auto"/>
          <w:sz w:val="32"/>
          <w:szCs w:val="32"/>
          <w:highlight w:val="none"/>
        </w:rPr>
        <w:t>48254132.05</w:t>
      </w:r>
      <w:r>
        <w:rPr>
          <w:rFonts w:hint="eastAsia" w:ascii="仿宋_GB2312" w:hAnsi="黑体" w:eastAsia="仿宋_GB2312"/>
          <w:color w:val="auto"/>
          <w:sz w:val="32"/>
          <w:szCs w:val="32"/>
          <w:highlight w:val="none"/>
        </w:rPr>
        <w:t>元，政</w:t>
      </w:r>
      <w:r>
        <w:rPr>
          <w:rFonts w:hint="eastAsia" w:ascii="仿宋_GB2312" w:hAnsi="宋体" w:eastAsia="仿宋_GB2312"/>
          <w:color w:val="auto"/>
          <w:sz w:val="32"/>
          <w:szCs w:val="32"/>
          <w:highlight w:val="none"/>
        </w:rPr>
        <w:t>府性基金预算财政拨款收入</w:t>
      </w:r>
      <w:r>
        <w:rPr>
          <w:rFonts w:hint="eastAsia" w:ascii="仿宋_GB2312" w:hAnsi="黑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元。预算支出</w:t>
      </w:r>
      <w:r>
        <w:rPr>
          <w:rFonts w:hint="eastAsia" w:ascii="仿宋_GB2312" w:hAnsi="黑体" w:eastAsia="仿宋_GB2312"/>
          <w:color w:val="auto"/>
          <w:sz w:val="32"/>
          <w:szCs w:val="32"/>
          <w:highlight w:val="none"/>
        </w:rPr>
        <w:t>48254132.05</w:t>
      </w:r>
      <w:r>
        <w:rPr>
          <w:rFonts w:hint="eastAsia" w:ascii="仿宋_GB2312" w:hAnsi="宋体" w:eastAsia="仿宋_GB2312"/>
          <w:color w:val="auto"/>
          <w:sz w:val="32"/>
          <w:szCs w:val="32"/>
          <w:highlight w:val="none"/>
        </w:rPr>
        <w:t>元，相应比上年预算数</w:t>
      </w:r>
      <w:r>
        <w:rPr>
          <w:rFonts w:hint="eastAsia" w:ascii="仿宋_GB2312" w:hAnsi="宋体" w:eastAsia="仿宋_GB2312"/>
          <w:color w:val="auto"/>
          <w:sz w:val="32"/>
          <w:szCs w:val="32"/>
          <w:highlight w:val="none"/>
          <w:lang w:val="en-US" w:eastAsia="zh-CN"/>
        </w:rPr>
        <w:t>减少</w:t>
      </w:r>
      <w:r>
        <w:rPr>
          <w:rFonts w:hint="eastAsia" w:ascii="仿宋_GB2312" w:hAnsi="黑体" w:eastAsia="仿宋_GB2312"/>
          <w:color w:val="auto"/>
          <w:sz w:val="32"/>
          <w:szCs w:val="32"/>
          <w:highlight w:val="none"/>
          <w:lang w:val="en-US" w:eastAsia="zh-CN"/>
        </w:rPr>
        <w:t>52.41</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减少</w:t>
      </w:r>
      <w:r>
        <w:rPr>
          <w:rFonts w:hint="eastAsia" w:ascii="仿宋_GB2312" w:hAnsi="宋体" w:eastAsia="仿宋_GB2312"/>
          <w:color w:val="auto"/>
          <w:sz w:val="32"/>
          <w:szCs w:val="32"/>
          <w:highlight w:val="none"/>
        </w:rPr>
        <w:t>的主要原因是：</w:t>
      </w:r>
      <w:r>
        <w:rPr>
          <w:rFonts w:hint="eastAsia" w:ascii="仿宋_GB2312" w:hAnsi="黑体" w:eastAsia="仿宋_GB2312"/>
          <w:color w:val="auto"/>
          <w:sz w:val="32"/>
          <w:szCs w:val="32"/>
          <w:highlight w:val="none"/>
          <w:lang w:val="en-US" w:eastAsia="zh-CN"/>
        </w:rPr>
        <w:t>单位部分资金被整合。</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支出按功能分类科目安排为：</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一般公共服务支出</w:t>
      </w:r>
      <w:r>
        <w:rPr>
          <w:rFonts w:hint="eastAsia" w:ascii="仿宋_GB2312" w:hAnsi="黑体" w:eastAsia="仿宋_GB2312"/>
          <w:color w:val="auto"/>
          <w:sz w:val="32"/>
          <w:szCs w:val="32"/>
          <w:highlight w:val="none"/>
        </w:rPr>
        <w:t>477773.88</w:t>
      </w:r>
      <w:r>
        <w:rPr>
          <w:rFonts w:hint="eastAsia" w:ascii="仿宋_GB2312" w:hAnsi="宋体" w:eastAsia="仿宋_GB2312"/>
          <w:color w:val="auto"/>
          <w:sz w:val="32"/>
          <w:szCs w:val="32"/>
          <w:highlight w:val="none"/>
        </w:rPr>
        <w:t>元，</w:t>
      </w:r>
      <w:r>
        <w:rPr>
          <w:rFonts w:hint="eastAsia" w:ascii="仿宋_GB2312" w:hAnsi="宋体" w:eastAsia="仿宋_GB2312"/>
          <w:color w:val="auto"/>
          <w:sz w:val="32"/>
          <w:szCs w:val="32"/>
          <w:highlight w:val="none"/>
          <w:lang w:val="en-US" w:eastAsia="zh-CN"/>
        </w:rPr>
        <w:t>卫生健康支出1601257.11元。</w:t>
      </w:r>
      <w:r>
        <w:rPr>
          <w:rFonts w:hint="eastAsia" w:ascii="仿宋_GB2312" w:hAnsi="宋体" w:eastAsia="仿宋_GB2312"/>
          <w:color w:val="auto"/>
          <w:sz w:val="32"/>
          <w:szCs w:val="32"/>
          <w:highlight w:val="none"/>
        </w:rPr>
        <w:t>社会保障和就业支出</w:t>
      </w:r>
      <w:r>
        <w:rPr>
          <w:rFonts w:hint="eastAsia" w:ascii="仿宋_GB2312" w:hAnsi="黑体" w:eastAsia="仿宋_GB2312"/>
          <w:color w:val="auto"/>
          <w:sz w:val="32"/>
          <w:szCs w:val="32"/>
          <w:highlight w:val="none"/>
        </w:rPr>
        <w:t>3869968.42元</w:t>
      </w:r>
      <w:r>
        <w:rPr>
          <w:rFonts w:hint="eastAsia" w:ascii="仿宋_GB2312" w:hAnsi="黑体" w:eastAsia="仿宋_GB2312"/>
          <w:color w:val="auto"/>
          <w:sz w:val="32"/>
          <w:szCs w:val="32"/>
          <w:highlight w:val="none"/>
          <w:lang w:eastAsia="zh-CN"/>
        </w:rPr>
        <w:t>，节能环保支出1291790.00</w:t>
      </w:r>
      <w:r>
        <w:rPr>
          <w:rFonts w:hint="eastAsia" w:ascii="仿宋_GB2312" w:hAnsi="黑体" w:eastAsia="仿宋_GB2312"/>
          <w:color w:val="auto"/>
          <w:sz w:val="32"/>
          <w:szCs w:val="32"/>
          <w:highlight w:val="none"/>
          <w:lang w:val="en-US" w:eastAsia="zh-CN"/>
        </w:rPr>
        <w:t>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农林水支出38146699.36元。住房保障支出2866643.28元。</w:t>
      </w:r>
    </w:p>
    <w:p>
      <w:pPr>
        <w:spacing w:line="640" w:lineRule="exact"/>
        <w:ind w:firstLine="640" w:firstLineChars="200"/>
        <w:rPr>
          <w:rFonts w:ascii="仿宋_GB2312" w:hAnsi="黑体" w:eastAsia="仿宋_GB2312"/>
          <w:color w:val="auto"/>
          <w:sz w:val="32"/>
          <w:szCs w:val="32"/>
          <w:highlight w:val="none"/>
        </w:rPr>
      </w:pPr>
      <w:r>
        <w:rPr>
          <w:rFonts w:hint="eastAsia" w:ascii="黑体" w:hAnsi="黑体" w:eastAsia="黑体"/>
          <w:color w:val="auto"/>
          <w:sz w:val="32"/>
          <w:szCs w:val="32"/>
          <w:highlight w:val="none"/>
        </w:rPr>
        <w:t>二、部门一般公共预算支出情况说明</w:t>
      </w:r>
    </w:p>
    <w:p>
      <w:pPr>
        <w:keepNext w:val="0"/>
        <w:keepLines w:val="0"/>
        <w:widowControl/>
        <w:suppressLineNumbers w:val="0"/>
        <w:jc w:val="left"/>
        <w:rPr>
          <w:rFonts w:hint="default" w:ascii="仿宋_GB2312" w:hAnsi="黑体" w:eastAsia="仿宋_GB2312"/>
          <w:color w:val="auto"/>
          <w:sz w:val="32"/>
          <w:szCs w:val="32"/>
          <w:highlight w:val="none"/>
          <w:lang w:val="en-US" w:eastAsia="zh-CN"/>
        </w:rPr>
      </w:pPr>
      <w:r>
        <w:rPr>
          <w:rFonts w:hint="eastAsia" w:ascii="楷体_GB2312" w:hAnsi="黑体" w:eastAsia="楷体_GB2312"/>
          <w:b/>
          <w:color w:val="auto"/>
          <w:sz w:val="32"/>
          <w:szCs w:val="32"/>
          <w:highlight w:val="none"/>
        </w:rPr>
        <w:t>（一）一般公共服务支出（类）</w:t>
      </w:r>
      <w:r>
        <w:rPr>
          <w:rFonts w:hint="eastAsia" w:ascii="仿宋" w:hAnsi="仿宋" w:eastAsia="仿宋" w:cs="仿宋"/>
          <w:b/>
          <w:bCs/>
          <w:color w:val="auto"/>
          <w:kern w:val="0"/>
          <w:sz w:val="32"/>
          <w:szCs w:val="32"/>
          <w:highlight w:val="none"/>
          <w:lang w:val="en-US" w:eastAsia="zh-CN" w:bidi="ar"/>
        </w:rPr>
        <w:t>群众团体事务</w:t>
      </w:r>
      <w:r>
        <w:rPr>
          <w:rFonts w:ascii="仿宋" w:hAnsi="仿宋" w:eastAsia="仿宋" w:cs="仿宋"/>
          <w:b/>
          <w:bCs/>
          <w:color w:val="auto"/>
          <w:kern w:val="0"/>
          <w:sz w:val="32"/>
          <w:szCs w:val="32"/>
          <w:highlight w:val="none"/>
          <w:lang w:val="en-US" w:eastAsia="zh-CN" w:bidi="ar"/>
        </w:rPr>
        <w:t>（款）</w:t>
      </w:r>
      <w:r>
        <w:rPr>
          <w:rFonts w:hint="eastAsia" w:ascii="仿宋_GB2312" w:hAnsi="黑体" w:eastAsia="仿宋_GB2312"/>
          <w:color w:val="auto"/>
          <w:sz w:val="32"/>
          <w:szCs w:val="32"/>
          <w:highlight w:val="none"/>
        </w:rPr>
        <w:t>2022年预算支出477773.88</w:t>
      </w:r>
      <w:r>
        <w:rPr>
          <w:rFonts w:hint="eastAsia" w:ascii="仿宋_GB2312" w:hAnsi="宋体" w:eastAsia="仿宋_GB2312"/>
          <w:color w:val="auto"/>
          <w:sz w:val="32"/>
          <w:szCs w:val="32"/>
          <w:highlight w:val="none"/>
        </w:rPr>
        <w:t>元</w:t>
      </w:r>
      <w:r>
        <w:rPr>
          <w:rFonts w:hint="eastAsia" w:ascii="仿宋_GB2312" w:hAnsi="黑体" w:eastAsia="仿宋_GB2312"/>
          <w:color w:val="auto"/>
          <w:sz w:val="32"/>
          <w:szCs w:val="32"/>
          <w:highlight w:val="none"/>
        </w:rPr>
        <w:t>，比上年预算数</w:t>
      </w:r>
      <w:r>
        <w:rPr>
          <w:rFonts w:hint="eastAsia" w:ascii="仿宋_GB2312" w:hAnsi="宋体" w:eastAsia="仿宋_GB2312"/>
          <w:color w:val="auto"/>
          <w:sz w:val="32"/>
          <w:szCs w:val="32"/>
          <w:highlight w:val="none"/>
          <w:lang w:val="en-US" w:eastAsia="zh-CN"/>
        </w:rPr>
        <w:t>增加51.73</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原因为工资和人员变化。</w:t>
      </w:r>
    </w:p>
    <w:p>
      <w:pPr>
        <w:keepNext w:val="0"/>
        <w:keepLines w:val="0"/>
        <w:widowControl/>
        <w:suppressLineNumbers w:val="0"/>
        <w:jc w:val="left"/>
        <w:rPr>
          <w:rFonts w:hint="eastAsia" w:ascii="仿宋_GB2312" w:hAnsi="黑体" w:eastAsia="仿宋_GB2312"/>
          <w:color w:val="auto"/>
          <w:sz w:val="32"/>
          <w:szCs w:val="32"/>
          <w:highlight w:val="none"/>
          <w:lang w:eastAsia="zh-CN"/>
        </w:rPr>
      </w:pPr>
      <w:r>
        <w:rPr>
          <w:rFonts w:hint="eastAsia" w:ascii="仿宋_GB2312" w:hAnsi="黑体" w:eastAsia="仿宋_GB2312"/>
          <w:b/>
          <w:color w:val="auto"/>
          <w:sz w:val="32"/>
          <w:szCs w:val="32"/>
          <w:highlight w:val="none"/>
        </w:rPr>
        <w:t>（二）社会保障和就业支出（类</w:t>
      </w:r>
      <w:r>
        <w:rPr>
          <w:rFonts w:hint="eastAsia" w:ascii="仿宋_GB2312" w:hAnsi="黑体" w:eastAsia="仿宋_GB2312"/>
          <w:color w:val="auto"/>
          <w:sz w:val="32"/>
          <w:szCs w:val="32"/>
          <w:highlight w:val="none"/>
        </w:rPr>
        <w:t>）</w:t>
      </w:r>
      <w:r>
        <w:rPr>
          <w:rFonts w:ascii="仿宋" w:hAnsi="仿宋" w:eastAsia="仿宋" w:cs="仿宋"/>
          <w:b/>
          <w:bCs/>
          <w:color w:val="auto"/>
          <w:kern w:val="0"/>
          <w:sz w:val="32"/>
          <w:szCs w:val="32"/>
          <w:highlight w:val="none"/>
          <w:lang w:val="en-US" w:eastAsia="zh-CN" w:bidi="ar"/>
        </w:rPr>
        <w:t>）行政事业单位离退休</w:t>
      </w:r>
      <w:r>
        <w:rPr>
          <w:rFonts w:hint="eastAsia" w:ascii="仿宋_GB2312" w:hAnsi="黑体" w:eastAsia="仿宋_GB2312"/>
          <w:color w:val="auto"/>
          <w:sz w:val="32"/>
          <w:szCs w:val="32"/>
          <w:highlight w:val="none"/>
        </w:rPr>
        <w:t>（款）2022年预算支出3869968.42元，变化情况：</w:t>
      </w:r>
      <w:r>
        <w:rPr>
          <w:rFonts w:hint="eastAsia" w:ascii="仿宋_GB2312" w:hAnsi="黑体" w:eastAsia="仿宋_GB2312"/>
          <w:color w:val="auto"/>
          <w:sz w:val="32"/>
          <w:szCs w:val="32"/>
          <w:highlight w:val="none"/>
          <w:lang w:val="en-US" w:eastAsia="zh-CN"/>
        </w:rPr>
        <w:t>比上年增加0.63%</w:t>
      </w:r>
      <w:r>
        <w:rPr>
          <w:rFonts w:hint="eastAsia" w:ascii="仿宋_GB2312" w:hAnsi="黑体" w:eastAsia="仿宋_GB2312"/>
          <w:color w:val="auto"/>
          <w:sz w:val="32"/>
          <w:szCs w:val="32"/>
          <w:highlight w:val="none"/>
        </w:rPr>
        <w:t>。</w:t>
      </w:r>
    </w:p>
    <w:p>
      <w:pPr>
        <w:pStyle w:val="2"/>
        <w:ind w:left="0" w:leftChars="0" w:firstLine="0" w:firstLineChars="0"/>
        <w:rPr>
          <w:rFonts w:hint="eastAsia" w:ascii="仿宋_GB2312" w:hAnsi="宋体" w:eastAsia="仿宋_GB2312"/>
          <w:color w:val="auto"/>
          <w:sz w:val="32"/>
          <w:szCs w:val="32"/>
          <w:highlight w:val="none"/>
          <w:lang w:val="en-US" w:eastAsia="zh-CN"/>
        </w:rPr>
      </w:pPr>
      <w:r>
        <w:rPr>
          <w:rFonts w:hint="eastAsia" w:ascii="仿宋_GB2312" w:hAnsi="黑体" w:eastAsia="仿宋_GB2312"/>
          <w:b/>
          <w:color w:val="auto"/>
          <w:sz w:val="32"/>
          <w:szCs w:val="32"/>
          <w:highlight w:val="none"/>
        </w:rPr>
        <w:t>（</w:t>
      </w:r>
      <w:r>
        <w:rPr>
          <w:rFonts w:hint="eastAsia" w:ascii="仿宋_GB2312" w:hAnsi="黑体" w:eastAsia="仿宋_GB2312"/>
          <w:b/>
          <w:color w:val="auto"/>
          <w:sz w:val="32"/>
          <w:szCs w:val="32"/>
          <w:highlight w:val="none"/>
          <w:lang w:val="en-US" w:eastAsia="zh-CN"/>
        </w:rPr>
        <w:t>三</w:t>
      </w:r>
      <w:r>
        <w:rPr>
          <w:rFonts w:hint="eastAsia" w:ascii="仿宋_GB2312" w:hAnsi="黑体" w:eastAsia="仿宋_GB2312"/>
          <w:b/>
          <w:color w:val="auto"/>
          <w:sz w:val="32"/>
          <w:szCs w:val="32"/>
          <w:highlight w:val="none"/>
        </w:rPr>
        <w:t>）</w:t>
      </w:r>
      <w:r>
        <w:rPr>
          <w:rFonts w:hint="eastAsia" w:ascii="仿宋_GB2312" w:hAnsi="黑体" w:eastAsia="仿宋_GB2312"/>
          <w:b/>
          <w:color w:val="auto"/>
          <w:sz w:val="32"/>
          <w:szCs w:val="32"/>
          <w:highlight w:val="none"/>
          <w:lang w:val="en-US" w:eastAsia="zh-CN"/>
        </w:rPr>
        <w:t>农林水支出（类）</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val="en-US" w:eastAsia="zh-CN"/>
        </w:rPr>
        <w:t>38146699.36元，</w:t>
      </w:r>
      <w:r>
        <w:rPr>
          <w:rFonts w:hint="eastAsia" w:ascii="仿宋_GB2312" w:hAnsi="宋体" w:eastAsia="仿宋_GB2312"/>
          <w:color w:val="auto"/>
          <w:sz w:val="32"/>
          <w:szCs w:val="32"/>
          <w:highlight w:val="none"/>
        </w:rPr>
        <w:t>比上年预算数减少</w:t>
      </w:r>
      <w:r>
        <w:rPr>
          <w:rFonts w:hint="eastAsia" w:ascii="仿宋_GB2312" w:hAnsi="宋体" w:eastAsia="仿宋_GB2312"/>
          <w:color w:val="auto"/>
          <w:sz w:val="32"/>
          <w:szCs w:val="32"/>
          <w:highlight w:val="none"/>
          <w:lang w:val="en-US" w:eastAsia="zh-CN"/>
        </w:rPr>
        <w:t>46.3%。原因为部分资金已整合。</w:t>
      </w:r>
    </w:p>
    <w:p>
      <w:pPr>
        <w:pStyle w:val="2"/>
        <w:ind w:left="0" w:leftChars="0" w:firstLine="0" w:firstLineChars="0"/>
        <w:rPr>
          <w:rFonts w:hint="default" w:ascii="仿宋_GB2312" w:hAnsi="宋体" w:eastAsia="仿宋_GB2312"/>
          <w:color w:val="auto"/>
          <w:sz w:val="32"/>
          <w:szCs w:val="32"/>
          <w:highlight w:val="none"/>
          <w:lang w:val="en-US" w:eastAsia="zh-CN"/>
        </w:rPr>
      </w:pPr>
      <w:r>
        <w:rPr>
          <w:rFonts w:hint="eastAsia" w:ascii="仿宋_GB2312" w:hAnsi="黑体" w:eastAsia="仿宋_GB2312"/>
          <w:b/>
          <w:color w:val="auto"/>
          <w:sz w:val="32"/>
          <w:szCs w:val="32"/>
          <w:highlight w:val="none"/>
        </w:rPr>
        <w:t>（</w:t>
      </w:r>
      <w:r>
        <w:rPr>
          <w:rFonts w:hint="eastAsia" w:ascii="仿宋_GB2312" w:hAnsi="黑体" w:eastAsia="仿宋_GB2312"/>
          <w:b/>
          <w:color w:val="auto"/>
          <w:sz w:val="32"/>
          <w:szCs w:val="32"/>
          <w:highlight w:val="none"/>
          <w:lang w:val="en-US" w:eastAsia="zh-CN"/>
        </w:rPr>
        <w:t>四</w:t>
      </w:r>
      <w:r>
        <w:rPr>
          <w:rFonts w:hint="eastAsia" w:ascii="仿宋_GB2312" w:hAnsi="黑体" w:eastAsia="仿宋_GB2312"/>
          <w:b/>
          <w:color w:val="auto"/>
          <w:sz w:val="32"/>
          <w:szCs w:val="32"/>
          <w:highlight w:val="none"/>
        </w:rPr>
        <w:t>）节能环保支出</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类</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环保（款）</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val="en-US" w:eastAsia="zh-CN"/>
        </w:rPr>
        <w:t>1291790元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比上年预算数减少</w:t>
      </w:r>
      <w:r>
        <w:rPr>
          <w:rFonts w:hint="eastAsia" w:ascii="仿宋_GB2312" w:hAnsi="宋体" w:eastAsia="仿宋_GB2312"/>
          <w:color w:val="auto"/>
          <w:sz w:val="32"/>
          <w:szCs w:val="32"/>
          <w:highlight w:val="none"/>
          <w:lang w:val="en-US" w:eastAsia="zh-CN"/>
        </w:rPr>
        <w:t>91%.无明显变化。</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三、部门一般公共预算基本支出情况说明</w:t>
      </w:r>
    </w:p>
    <w:p>
      <w:pPr>
        <w:ind w:firstLine="640" w:firstLineChars="200"/>
        <w:rPr>
          <w:rFonts w:hint="default" w:eastAsia="仿宋_GB2312"/>
          <w:color w:val="auto"/>
          <w:highlight w:val="none"/>
          <w:lang w:val="en-US" w:eastAsia="zh-CN"/>
        </w:rPr>
      </w:pPr>
      <w:r>
        <w:rPr>
          <w:rFonts w:hint="eastAsia" w:ascii="仿宋_GB2312" w:hAnsi="黑体" w:eastAsia="仿宋_GB2312"/>
          <w:color w:val="auto"/>
          <w:sz w:val="32"/>
          <w:szCs w:val="32"/>
          <w:highlight w:val="none"/>
        </w:rPr>
        <w:t>2022年一般公共预算基本支出41299406.69</w:t>
      </w:r>
      <w:r>
        <w:rPr>
          <w:rFonts w:hint="eastAsia" w:ascii="仿宋_GB2312" w:hAnsi="黑体" w:eastAsia="仿宋_GB2312"/>
          <w:color w:val="auto"/>
          <w:sz w:val="32"/>
          <w:szCs w:val="32"/>
          <w:highlight w:val="none"/>
          <w:lang w:eastAsia="zh-CN"/>
        </w:rPr>
        <w:t>，比上年预算数</w:t>
      </w:r>
      <w:r>
        <w:rPr>
          <w:rFonts w:hint="eastAsia" w:ascii="仿宋_GB2312" w:hAnsi="黑体" w:eastAsia="仿宋_GB2312"/>
          <w:color w:val="auto"/>
          <w:sz w:val="32"/>
          <w:szCs w:val="32"/>
          <w:highlight w:val="none"/>
          <w:lang w:val="en-US" w:eastAsia="zh-CN"/>
        </w:rPr>
        <w:t>增加</w:t>
      </w:r>
      <w:r>
        <w:rPr>
          <w:rFonts w:hint="eastAsia" w:ascii="仿宋_GB2312" w:hAnsi="宋体" w:eastAsia="仿宋_GB2312"/>
          <w:color w:val="auto"/>
          <w:sz w:val="32"/>
          <w:szCs w:val="32"/>
          <w:highlight w:val="none"/>
          <w:lang w:val="en-US" w:eastAsia="zh-CN"/>
        </w:rPr>
        <w:t>23%</w:t>
      </w:r>
      <w:r>
        <w:rPr>
          <w:rFonts w:hint="eastAsia" w:ascii="仿宋_GB2312" w:hAnsi="黑体" w:eastAsia="仿宋_GB2312"/>
          <w:color w:val="auto"/>
          <w:sz w:val="32"/>
          <w:szCs w:val="32"/>
          <w:highlight w:val="none"/>
        </w:rPr>
        <w:t>，其中：人员经费</w:t>
      </w:r>
      <w:r>
        <w:rPr>
          <w:rFonts w:hint="eastAsia" w:ascii="仿宋_GB2312" w:hAnsi="黑体" w:eastAsia="仿宋_GB2312"/>
          <w:color w:val="auto"/>
          <w:sz w:val="32"/>
          <w:szCs w:val="32"/>
          <w:highlight w:val="none"/>
          <w:lang w:val="en-US" w:eastAsia="zh-CN"/>
        </w:rPr>
        <w:t>40724406.69</w:t>
      </w:r>
      <w:r>
        <w:rPr>
          <w:rFonts w:hint="eastAsia" w:ascii="仿宋_GB2312" w:hAnsi="黑体" w:eastAsia="仿宋_GB2312"/>
          <w:color w:val="auto"/>
          <w:sz w:val="32"/>
          <w:szCs w:val="32"/>
          <w:highlight w:val="none"/>
        </w:rPr>
        <w:t>元，单位运转经费</w:t>
      </w:r>
      <w:r>
        <w:rPr>
          <w:rFonts w:hint="eastAsia" w:ascii="仿宋_GB2312" w:hAnsi="黑体" w:eastAsia="仿宋_GB2312"/>
          <w:color w:val="auto"/>
          <w:sz w:val="32"/>
          <w:szCs w:val="32"/>
          <w:highlight w:val="none"/>
          <w:lang w:val="en-US" w:eastAsia="zh-CN"/>
        </w:rPr>
        <w:t>575000.00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四、部门“三公”经费情况说明</w:t>
      </w:r>
    </w:p>
    <w:p>
      <w:pPr>
        <w:spacing w:line="64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2022年“三公”经费预</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p>
    <w:p>
      <w:pPr>
        <w:spacing w:line="640" w:lineRule="exact"/>
        <w:ind w:firstLine="643" w:firstLineChars="200"/>
        <w:rPr>
          <w:rFonts w:hint="default" w:ascii="仿宋_GB2312" w:hAnsi="黑体" w:eastAsia="仿宋_GB2312"/>
          <w:color w:val="auto"/>
          <w:sz w:val="32"/>
          <w:szCs w:val="32"/>
          <w:highlight w:val="none"/>
          <w:lang w:val="en-US"/>
        </w:rPr>
      </w:pPr>
      <w:r>
        <w:rPr>
          <w:rFonts w:hint="eastAsia" w:ascii="楷体_GB2312" w:hAnsi="黑体" w:eastAsia="楷体_GB2312"/>
          <w:b/>
          <w:color w:val="auto"/>
          <w:sz w:val="32"/>
          <w:szCs w:val="32"/>
          <w:highlight w:val="none"/>
        </w:rPr>
        <w:t>（一）因公出国（境）费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（二）公务接待费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p>
    <w:p>
      <w:pPr>
        <w:spacing w:line="640" w:lineRule="exact"/>
        <w:ind w:firstLine="643" w:firstLineChars="200"/>
        <w:rPr>
          <w:rFonts w:hint="default" w:ascii="仿宋_GB2312" w:hAnsi="黑体" w:eastAsia="仿宋_GB2312"/>
          <w:color w:val="auto"/>
          <w:sz w:val="32"/>
          <w:szCs w:val="32"/>
          <w:highlight w:val="none"/>
          <w:lang w:val="en-US" w:eastAsia="zh-CN"/>
        </w:rPr>
      </w:pPr>
      <w:r>
        <w:rPr>
          <w:rFonts w:hint="eastAsia" w:ascii="楷体_GB2312" w:hAnsi="黑体" w:eastAsia="楷体_GB2312"/>
          <w:b/>
          <w:color w:val="auto"/>
          <w:sz w:val="32"/>
          <w:szCs w:val="32"/>
          <w:highlight w:val="none"/>
        </w:rPr>
        <w:t>（三）公务用车购置和运行</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bookmarkStart w:id="0" w:name="_GoBack"/>
      <w:bookmarkEnd w:id="0"/>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(四）会议费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(五) 培训费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较上年无变化。</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五、部门机关运行经费及政府采购预算情况说明</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2022年机关运行经费预算</w:t>
      </w:r>
      <w:r>
        <w:rPr>
          <w:rFonts w:hint="eastAsia" w:ascii="仿宋_GB2312" w:hAnsi="黑体" w:eastAsia="仿宋_GB2312"/>
          <w:color w:val="auto"/>
          <w:sz w:val="32"/>
          <w:szCs w:val="32"/>
          <w:highlight w:val="none"/>
          <w:lang w:val="en-US" w:eastAsia="zh-CN"/>
        </w:rPr>
        <w:t>575000.00</w:t>
      </w:r>
      <w:r>
        <w:rPr>
          <w:rFonts w:hint="eastAsia" w:ascii="仿宋_GB2312" w:hAnsi="黑体" w:eastAsia="仿宋_GB2312"/>
          <w:color w:val="auto"/>
          <w:sz w:val="32"/>
          <w:szCs w:val="32"/>
          <w:highlight w:val="none"/>
        </w:rPr>
        <w:t>元，比上年预算数</w:t>
      </w:r>
      <w:r>
        <w:rPr>
          <w:rFonts w:hint="eastAsia" w:ascii="仿宋_GB2312" w:hAnsi="黑体" w:eastAsia="仿宋_GB2312"/>
          <w:color w:val="auto"/>
          <w:sz w:val="32"/>
          <w:szCs w:val="32"/>
          <w:highlight w:val="none"/>
          <w:lang w:eastAsia="zh-CN"/>
        </w:rPr>
        <w:t>减少</w:t>
      </w:r>
      <w:r>
        <w:rPr>
          <w:rFonts w:hint="eastAsia" w:ascii="仿宋_GB2312" w:hAnsi="黑体" w:eastAsia="仿宋_GB2312"/>
          <w:color w:val="auto"/>
          <w:sz w:val="32"/>
          <w:szCs w:val="32"/>
          <w:highlight w:val="none"/>
          <w:lang w:val="en-US" w:eastAsia="zh-CN"/>
        </w:rPr>
        <w:t>14.73%</w:t>
      </w:r>
      <w:r>
        <w:rPr>
          <w:rFonts w:hint="eastAsia" w:ascii="仿宋_GB2312" w:hAnsi="黑体" w:eastAsia="仿宋_GB2312"/>
          <w:color w:val="auto"/>
          <w:sz w:val="32"/>
          <w:szCs w:val="32"/>
          <w:highlight w:val="none"/>
        </w:rPr>
        <w:t>。政府采购预算</w:t>
      </w:r>
      <w:r>
        <w:rPr>
          <w:rFonts w:hint="eastAsia" w:ascii="仿宋_GB2312" w:hAnsi="黑体" w:eastAsia="仿宋_GB2312"/>
          <w:color w:val="auto"/>
          <w:sz w:val="32"/>
          <w:szCs w:val="32"/>
          <w:highlight w:val="none"/>
          <w:lang w:val="en-US" w:eastAsia="zh-CN"/>
        </w:rPr>
        <w:t>143520</w:t>
      </w:r>
      <w:r>
        <w:rPr>
          <w:rFonts w:hint="eastAsia" w:ascii="仿宋_GB2312" w:hAnsi="黑体" w:eastAsia="仿宋_GB2312"/>
          <w:color w:val="auto"/>
          <w:sz w:val="32"/>
          <w:szCs w:val="32"/>
          <w:highlight w:val="none"/>
        </w:rPr>
        <w:t>元，比上年预算数</w:t>
      </w:r>
      <w:r>
        <w:rPr>
          <w:rFonts w:hint="eastAsia" w:ascii="仿宋_GB2312" w:hAnsi="黑体" w:eastAsia="仿宋_GB2312"/>
          <w:color w:val="auto"/>
          <w:sz w:val="32"/>
          <w:szCs w:val="32"/>
          <w:highlight w:val="none"/>
          <w:lang w:val="en-US" w:eastAsia="zh-CN"/>
        </w:rPr>
        <w:t>减少62%，</w:t>
      </w:r>
      <w:r>
        <w:rPr>
          <w:rFonts w:hint="eastAsia" w:ascii="仿宋_GB2312" w:hAnsi="黑体" w:eastAsia="仿宋_GB2312"/>
          <w:color w:val="auto"/>
          <w:sz w:val="32"/>
          <w:szCs w:val="32"/>
          <w:highlight w:val="none"/>
        </w:rPr>
        <w:t>其中：政府采购货物预算</w:t>
      </w:r>
      <w:r>
        <w:rPr>
          <w:rFonts w:hint="eastAsia" w:ascii="仿宋_GB2312" w:hAnsi="黑体" w:eastAsia="仿宋_GB2312"/>
          <w:color w:val="auto"/>
          <w:sz w:val="32"/>
          <w:szCs w:val="32"/>
          <w:highlight w:val="none"/>
          <w:lang w:val="en-US" w:eastAsia="zh-CN"/>
        </w:rPr>
        <w:t>143520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p>
    <w:p>
      <w:pPr>
        <w:rPr>
          <w:rFonts w:ascii="仿宋_GB2312" w:hAnsi="黑体" w:eastAsia="仿宋_GB2312"/>
          <w:color w:val="auto"/>
          <w:sz w:val="32"/>
          <w:szCs w:val="32"/>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第四部分  名词解释</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（一）财政拨款收入：</w:t>
      </w:r>
      <w:r>
        <w:rPr>
          <w:rFonts w:ascii="仿宋_GB2312" w:hAnsi="黑体" w:eastAsia="仿宋_GB2312"/>
          <w:color w:val="auto"/>
          <w:sz w:val="32"/>
          <w:szCs w:val="32"/>
          <w:highlight w:val="none"/>
        </w:rPr>
        <w:t>指由</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财政拨款形成的部门收入。按照现行预算管理制度，</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（二）上年结转：</w:t>
      </w:r>
      <w:r>
        <w:rPr>
          <w:rFonts w:ascii="仿宋_GB2312" w:hAnsi="黑体" w:eastAsia="仿宋_GB2312"/>
          <w:color w:val="auto"/>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（三）基本支出：</w:t>
      </w:r>
      <w:r>
        <w:rPr>
          <w:rFonts w:ascii="仿宋_GB2312" w:hAnsi="黑体" w:eastAsia="仿宋_GB2312"/>
          <w:color w:val="auto"/>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（四）项目支出：</w:t>
      </w:r>
      <w:r>
        <w:rPr>
          <w:rFonts w:ascii="仿宋_GB2312" w:hAnsi="黑体" w:eastAsia="仿宋_GB2312"/>
          <w:color w:val="auto"/>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（五）三公经费：</w:t>
      </w:r>
      <w:r>
        <w:rPr>
          <w:rFonts w:ascii="仿宋_GB2312" w:hAnsi="黑体" w:eastAsia="仿宋_GB2312"/>
          <w:color w:val="auto"/>
          <w:sz w:val="32"/>
          <w:szCs w:val="32"/>
          <w:highlight w:val="none"/>
        </w:rPr>
        <w:t>是指</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部门用财政拨款安排的因公出国（境）费，公务接待费</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公务用车购置及运行费。</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（六）机关运行经费：</w:t>
      </w:r>
      <w:r>
        <w:rPr>
          <w:rFonts w:ascii="仿宋_GB2312" w:hAnsi="黑体" w:eastAsia="仿宋_GB2312"/>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color w:val="auto"/>
          <w:sz w:val="32"/>
          <w:szCs w:val="32"/>
          <w:highlight w:val="none"/>
        </w:rPr>
      </w:pPr>
    </w:p>
    <w:p>
      <w:pPr>
        <w:ind w:firstLine="643" w:firstLineChars="200"/>
        <w:jc w:val="center"/>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填表说明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headerReference r:id="rId3" w:type="default"/>
      <w:footerReference r:id="rId4"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TU4OWVmNWRhODU0ODZjNzg2MjNkM2ZhN2ViND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F34E62"/>
    <w:rsid w:val="047D2F82"/>
    <w:rsid w:val="060021DC"/>
    <w:rsid w:val="064D410C"/>
    <w:rsid w:val="06746E88"/>
    <w:rsid w:val="06BE6228"/>
    <w:rsid w:val="07EA6CFD"/>
    <w:rsid w:val="0A116753"/>
    <w:rsid w:val="0B896034"/>
    <w:rsid w:val="0BDF6813"/>
    <w:rsid w:val="0CFF716D"/>
    <w:rsid w:val="0D824E94"/>
    <w:rsid w:val="0E6F37D9"/>
    <w:rsid w:val="0F6D5BAF"/>
    <w:rsid w:val="112936A0"/>
    <w:rsid w:val="1250416D"/>
    <w:rsid w:val="13B82E0D"/>
    <w:rsid w:val="141D039C"/>
    <w:rsid w:val="16E87E8D"/>
    <w:rsid w:val="17432B85"/>
    <w:rsid w:val="1909264A"/>
    <w:rsid w:val="198119BE"/>
    <w:rsid w:val="1B78482C"/>
    <w:rsid w:val="1C6D1D31"/>
    <w:rsid w:val="1D654F62"/>
    <w:rsid w:val="1FD75718"/>
    <w:rsid w:val="204B1966"/>
    <w:rsid w:val="205A7194"/>
    <w:rsid w:val="210F4887"/>
    <w:rsid w:val="22273516"/>
    <w:rsid w:val="2233056C"/>
    <w:rsid w:val="23513756"/>
    <w:rsid w:val="235176F9"/>
    <w:rsid w:val="250F1490"/>
    <w:rsid w:val="25B4677B"/>
    <w:rsid w:val="25C91ABF"/>
    <w:rsid w:val="26291B95"/>
    <w:rsid w:val="26D837B1"/>
    <w:rsid w:val="292A0545"/>
    <w:rsid w:val="2B26350E"/>
    <w:rsid w:val="2B5C1C56"/>
    <w:rsid w:val="2BCF3D4E"/>
    <w:rsid w:val="2BE772F2"/>
    <w:rsid w:val="2CE11F94"/>
    <w:rsid w:val="2D550DF7"/>
    <w:rsid w:val="2DBA0562"/>
    <w:rsid w:val="3103697D"/>
    <w:rsid w:val="31352995"/>
    <w:rsid w:val="32A96D1A"/>
    <w:rsid w:val="34032DB0"/>
    <w:rsid w:val="34B82D6F"/>
    <w:rsid w:val="370E1406"/>
    <w:rsid w:val="373703E1"/>
    <w:rsid w:val="37580FE7"/>
    <w:rsid w:val="396616D2"/>
    <w:rsid w:val="399078B9"/>
    <w:rsid w:val="39A71DAE"/>
    <w:rsid w:val="3D8C4411"/>
    <w:rsid w:val="40465DD0"/>
    <w:rsid w:val="40CC1D5D"/>
    <w:rsid w:val="416268DB"/>
    <w:rsid w:val="452F6292"/>
    <w:rsid w:val="47AF499B"/>
    <w:rsid w:val="484D612A"/>
    <w:rsid w:val="48A9072C"/>
    <w:rsid w:val="4D903B41"/>
    <w:rsid w:val="4DA8126D"/>
    <w:rsid w:val="4DD72226"/>
    <w:rsid w:val="4EA300AE"/>
    <w:rsid w:val="501E1A23"/>
    <w:rsid w:val="50622DD8"/>
    <w:rsid w:val="506D40C8"/>
    <w:rsid w:val="51C77E42"/>
    <w:rsid w:val="54B1376D"/>
    <w:rsid w:val="56311F34"/>
    <w:rsid w:val="564548F7"/>
    <w:rsid w:val="565305B1"/>
    <w:rsid w:val="56C73340"/>
    <w:rsid w:val="59441D15"/>
    <w:rsid w:val="5A3206F2"/>
    <w:rsid w:val="5D890120"/>
    <w:rsid w:val="612C7293"/>
    <w:rsid w:val="61EF1B1B"/>
    <w:rsid w:val="621A3658"/>
    <w:rsid w:val="62B62979"/>
    <w:rsid w:val="6377272F"/>
    <w:rsid w:val="64252B6E"/>
    <w:rsid w:val="651520BC"/>
    <w:rsid w:val="65B71508"/>
    <w:rsid w:val="661A6258"/>
    <w:rsid w:val="6A136FDE"/>
    <w:rsid w:val="6A752B54"/>
    <w:rsid w:val="6E3D27C7"/>
    <w:rsid w:val="6EA6456E"/>
    <w:rsid w:val="72AC7F1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Date"/>
    <w:basedOn w:val="1"/>
    <w:next w:val="1"/>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NormalCharacter"/>
    <w:qFormat/>
    <w:uiPriority w:val="0"/>
    <w:rPr>
      <w:kern w:val="2"/>
      <w:sz w:val="21"/>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2009</Words>
  <Characters>2281</Characters>
  <Lines>16</Lines>
  <Paragraphs>4</Paragraphs>
  <TotalTime>0</TotalTime>
  <ScaleCrop>false</ScaleCrop>
  <LinksUpToDate>false</LinksUpToDate>
  <CharactersWithSpaces>2457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Xiang xiang</cp:lastModifiedBy>
  <cp:lastPrinted>2022-04-13T10:13:00Z</cp:lastPrinted>
  <dcterms:modified xsi:type="dcterms:W3CDTF">2022-08-29T04:22:47Z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B5E1E1E4DD424CD39F7C6CC33BF4E004</vt:lpwstr>
  </property>
</Properties>
</file>