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南阳渠灌溉管理局</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tabs>
          <w:tab w:val="left" w:pos="533"/>
        </w:tabs>
        <w:spacing w:line="640" w:lineRule="exact"/>
        <w:rPr>
          <w:rFonts w:ascii="黑体" w:hAnsi="黑体" w:eastAsia="黑体"/>
          <w:sz w:val="32"/>
          <w:szCs w:val="32"/>
        </w:rPr>
      </w:pPr>
      <w:r>
        <w:rPr>
          <w:rFonts w:hint="eastAsia" w:ascii="黑体" w:hAnsi="黑体" w:eastAsia="黑体"/>
          <w:sz w:val="32"/>
          <w:szCs w:val="32"/>
        </w:rPr>
        <w:t>部门职责</w:t>
      </w:r>
    </w:p>
    <w:p>
      <w:pPr>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一)贯彻执行国家、省、市有关水务、防汛、法律法规和方针政策;拟订全县南阳渠管理的地方规范性文件并组织实施;保障南阳渠水资源的合理开发利用，拟订全县南阳渠等水利设施的中长期发展战略规划和政策，组织编制全县南阳渠流域规划、防洪规划等重大水利规划，按规定制定南阳渠相关水利工程建设有关制度并组织实施。</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(二)负责县域内南阳渠的管理，编制全县南阳渠相关水利设施及水利工程综合规划、流域规划和专业规划并组织实施;组织编制、审查水利工程规划，初审、转报项目建议书、可行性研究报告、初步设计报告。</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三)负责对灌区群众提供安全的生产生活用水，加强水资源开发利用管理，用水效率和水功能区限制纳污控制，保障城乡供水安全，保障灌区群众耕地用水安全，促进水资源的可持续利用;加强防汛抗旱工作，减轻水旱灾害损失。</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(四)负责全县南阳渠水利工作、水利工程管理、行政管理;编制全县南阳渠农田水利基本建设发展规划和年度实施计划，指导全县南阳渠流经乡镇供水工作，指导水利设施、水域及其岸线的管理与保护。</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五)负责管护总干四支、总干五支、总干六支和一干渠、二千渠、三干渠、四干渠及所属支渠、田间配套工程(包括一干渠柳树提灌、二千渠龙泉提灌、春台大庄提灌、郭家梁提灌、那勒寺五家上庄提灌、那勒寺伏格其坪提灌、坪庄支渠提灌，坪庄乡沟洼山喷灌示范点、果园乡洒勒节水灌溉示范点、百和乡何阎家和风山乡池滩示范点，春台乡大庄村、柳树乡红庄、坪庄乡韩则岭罗家、那勒寺镇西牙、汪集乡包家和池沟、北岭乡范家管灌示范点，确保境内干支渠及田间配套工程等所有国家投资建设的水利工程设施设备的安全生产和正常运行。同时，按季度负责交付锁南一、二级泵站向县自来水厂提水所用电费。</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六)负责做好县域内渠道的日常维修养护工作，负责损坏设施的维修和渠道内淤泥、垃圾、杂物的清理，保证渠道畅通;对渠道沿线群众进行相关法律法规的宣传教育，加强工程设施管护，严厉杜绝水利设施的盗窃与破坏，保证各种水利设施健康运行;负责拟定上报用水、配水计划，组织群众推广节水灌溉技术，使工程发挥最大综合效益。</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(七)对基层水利站的管理、业务指导职责。</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(八)承办县政府交办的其他事项。</w:t>
      </w:r>
    </w:p>
    <w:p>
      <w:pPr>
        <w:numPr>
          <w:ilvl w:val="0"/>
          <w:numId w:val="0"/>
        </w:numPr>
        <w:tabs>
          <w:tab w:val="left" w:pos="533"/>
        </w:tabs>
        <w:spacing w:line="640" w:lineRule="exact"/>
        <w:ind w:left="640" w:leftChars="0"/>
        <w:rPr>
          <w:rFonts w:hint="eastAsia" w:ascii="黑体" w:hAnsi="黑体" w:eastAsia="黑体"/>
          <w:sz w:val="32"/>
          <w:szCs w:val="32"/>
        </w:rPr>
      </w:pPr>
      <w:r>
        <w:rPr>
          <w:rFonts w:hint="eastAsia" w:ascii="黑体" w:hAnsi="黑体" w:eastAsia="黑体"/>
          <w:sz w:val="32"/>
          <w:szCs w:val="32"/>
        </w:rPr>
        <w:t>二、机构设置</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一)人秘股:协调局领导组织办理日常工作。组织全局性的工作会议，起草综合性文件和规范化文件、制度、办法、机要保密、提案信访、信息监查、档案、文印、通讯等工作。负责局机关和基层单位负责人考核、任免和后备队伍的建设。负责局机关及基层职工管理及社会治安综合治理、妇女计划生育工作。负责全系统行业管理、教育和培训工作。组织全系统劳动竞赛、创先争优和安全工作。并负责处理公文、对外宣传、政务信息、秘书、档案、信访等工作人。</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(二)财务股:负责全</w:t>
      </w:r>
      <w:r>
        <w:rPr>
          <w:rFonts w:hint="eastAsia" w:ascii="仿宋_GB2312" w:hAnsi="黑体" w:eastAsia="仿宋_GB2312"/>
          <w:sz w:val="32"/>
          <w:szCs w:val="32"/>
          <w:lang w:val="en-US" w:eastAsia="zh-CN"/>
        </w:rPr>
        <w:t>所</w:t>
      </w:r>
      <w:r>
        <w:rPr>
          <w:rFonts w:hint="eastAsia" w:ascii="仿宋_GB2312" w:hAnsi="黑体" w:eastAsia="仿宋_GB2312"/>
          <w:sz w:val="32"/>
          <w:szCs w:val="32"/>
          <w:lang w:eastAsia="zh-CN"/>
        </w:rPr>
        <w:t>的财务管理和会计核算工作，管理国有财产、资金、补贴、费用及盈亏。开展增收节支，发展多种经营，改善经营管理。多渠道组织筹集资金用于南阳渠工程水利建设，制订各项资金使用管理办法和调节措施，监督检查各项水利资金使用状况，对固定资产进行监督管理。并负责局后勤工作。负责全系统内部财务审计工作，管理局机关和系统内负责人离任审计。</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三)灌溉管理股:用水计划的编拟执行，水量调配，不同作物灌溉制度，灌水技术等的试验与科学研究，灌溉技术推广，地亩核对登记，基层管水人员的岗位培训与业务管理等。组织制定灌溉排水方案和计划;灌溉排水调度管理工作;组织灌溉排水水质和水量的监测;参与协调用水纠纷，处理用水矛盾;负责灌溉用水水量的结算;负责灌溉排水技术资料的整理，分析和归档;承办灌溉计划及管道排水方案的编制、灌溉排水的实时调度、协调用水关系;灌溉排水效益的分析总结及资料的整理归档。负责指导灌区科学合理灌溉;负责灌溉实验资料的分析整理、归档及成果的申报管理工作;负责节水灌溉技术的普及推广和培训工作;承担灌溉排水的计量管理工作。组织建立用水户(单位)资料，及时统计、分析灌溉排水量及定额。完成领导交办的其他工作。</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ascii="黑体" w:hAnsi="黑体" w:eastAsia="黑体"/>
          <w:sz w:val="32"/>
          <w:szCs w:val="32"/>
        </w:rPr>
      </w:pPr>
      <w:r>
        <w:rPr>
          <w:rFonts w:hint="eastAsia" w:ascii="仿宋_GB2312" w:hAnsi="黑体" w:eastAsia="仿宋_GB2312"/>
          <w:b/>
          <w:sz w:val="52"/>
          <w:szCs w:val="52"/>
        </w:rPr>
        <w:t>第二部分  2022年部门预算表格</w:t>
      </w: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lang w:val="en-US" w:eastAsia="zh-CN"/>
        </w:rPr>
      </w:pPr>
      <w:r>
        <w:rPr>
          <w:rFonts w:hint="eastAsia" w:ascii="仿宋_GB2312" w:hAnsi="黑体" w:eastAsia="仿宋_GB2312"/>
          <w:sz w:val="32"/>
          <w:szCs w:val="32"/>
        </w:rPr>
        <w:t>2022年预算收入4454417.97元，比上年预算</w:t>
      </w:r>
      <w:r>
        <w:rPr>
          <w:rFonts w:hint="eastAsia" w:ascii="仿宋_GB2312" w:hAnsi="黑体" w:eastAsia="仿宋_GB2312"/>
          <w:sz w:val="32"/>
          <w:szCs w:val="32"/>
          <w:lang w:val="en-US" w:eastAsia="zh-CN"/>
        </w:rPr>
        <w:t>增加1160401.97</w:t>
      </w:r>
      <w:r>
        <w:rPr>
          <w:rFonts w:hint="eastAsia" w:ascii="仿宋_GB2312" w:hAnsi="黑体" w:eastAsia="仿宋_GB2312"/>
          <w:sz w:val="32"/>
          <w:szCs w:val="32"/>
        </w:rPr>
        <w:t>元，其中：一般公共预算财政拨款收入4454417.97元，政</w:t>
      </w:r>
      <w:r>
        <w:rPr>
          <w:rFonts w:hint="eastAsia" w:ascii="仿宋_GB2312" w:hAnsi="宋体" w:eastAsia="仿宋_GB2312"/>
          <w:sz w:val="32"/>
          <w:szCs w:val="32"/>
        </w:rPr>
        <w:t>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w:t>
      </w:r>
      <w:r>
        <w:rPr>
          <w:rFonts w:hint="eastAsia" w:ascii="仿宋_GB2312" w:hAnsi="黑体" w:eastAsia="仿宋_GB2312"/>
          <w:sz w:val="32"/>
          <w:szCs w:val="32"/>
        </w:rPr>
        <w:t>4454417.97</w:t>
      </w:r>
      <w:r>
        <w:rPr>
          <w:rFonts w:hint="eastAsia" w:ascii="仿宋_GB2312" w:hAnsi="宋体" w:eastAsia="仿宋_GB2312"/>
          <w:sz w:val="32"/>
          <w:szCs w:val="32"/>
        </w:rPr>
        <w:t>元，相应比上年预算数</w:t>
      </w:r>
      <w:r>
        <w:rPr>
          <w:rFonts w:hint="eastAsia" w:ascii="仿宋_GB2312" w:hAnsi="宋体" w:eastAsia="仿宋_GB2312"/>
          <w:sz w:val="32"/>
          <w:szCs w:val="32"/>
          <w:lang w:val="en-US" w:eastAsia="zh-CN"/>
        </w:rPr>
        <w:t>增加35.23</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人员调入，工资增加，社会保障就业支出增加，卫生健康支出，住房保障支出增加。</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一般公共服务支出52066.32元，其中：财政拨款52066.32元，比上年预算数</w:t>
      </w:r>
      <w:r>
        <w:rPr>
          <w:rFonts w:hint="eastAsia" w:ascii="仿宋_GB2312" w:hAnsi="宋体" w:eastAsia="仿宋_GB2312"/>
          <w:sz w:val="32"/>
          <w:szCs w:val="32"/>
          <w:lang w:val="en-US" w:eastAsia="zh-CN"/>
        </w:rPr>
        <w:t>增加65.65</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人员调入增加及工会事务人员增加。</w:t>
      </w:r>
      <w:r>
        <w:rPr>
          <w:rFonts w:hint="eastAsia" w:ascii="仿宋_GB2312" w:hAnsi="宋体" w:eastAsia="仿宋_GB2312"/>
          <w:sz w:val="32"/>
          <w:szCs w:val="32"/>
        </w:rPr>
        <w:t>社会保障和就业支出421737.19</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其中：财政拨款421737.19元，比上年预算数</w:t>
      </w:r>
      <w:r>
        <w:rPr>
          <w:rFonts w:hint="eastAsia" w:ascii="仿宋_GB2312" w:hAnsi="宋体" w:eastAsia="仿宋_GB2312"/>
          <w:sz w:val="32"/>
          <w:szCs w:val="32"/>
          <w:lang w:val="en-US" w:eastAsia="zh-CN"/>
        </w:rPr>
        <w:t>增加12.56</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人员调入，工资增加，社会保障和就业支出增加。</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卫生健康支出173319.54</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其中：财政拨款173319.54元，原因是</w:t>
      </w:r>
      <w:r>
        <w:rPr>
          <w:rFonts w:hint="eastAsia" w:ascii="仿宋_GB2312" w:hAnsi="宋体" w:eastAsia="仿宋_GB2312"/>
          <w:sz w:val="32"/>
          <w:szCs w:val="32"/>
          <w:lang w:val="en-US" w:eastAsia="zh-CN"/>
        </w:rPr>
        <w:t>卫生健康支出列入本单位预算</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农林水支出3494897.00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其中：财政拨款3494897.00元，比上年预算数</w:t>
      </w:r>
      <w:r>
        <w:rPr>
          <w:rFonts w:hint="eastAsia" w:ascii="仿宋_GB2312" w:hAnsi="宋体" w:eastAsia="仿宋_GB2312"/>
          <w:sz w:val="32"/>
          <w:szCs w:val="32"/>
          <w:lang w:val="en-US" w:eastAsia="zh-CN"/>
        </w:rPr>
        <w:t>增加21.02</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人员调入，工资增加。</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住房保障支出312397.92</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其中：财政拨款312397.92元，原因是</w:t>
      </w:r>
      <w:r>
        <w:rPr>
          <w:rFonts w:hint="eastAsia" w:ascii="仿宋_GB2312" w:hAnsi="宋体" w:eastAsia="仿宋_GB2312"/>
          <w:sz w:val="32"/>
          <w:szCs w:val="32"/>
          <w:lang w:val="en-US" w:eastAsia="zh-CN"/>
        </w:rPr>
        <w:t>住房保障支出列入本单位预算</w:t>
      </w:r>
      <w:r>
        <w:rPr>
          <w:rFonts w:hint="eastAsia" w:ascii="仿宋_GB2312" w:hAnsi="宋体" w:eastAsia="仿宋_GB2312"/>
          <w:sz w:val="32"/>
          <w:szCs w:val="32"/>
        </w:rPr>
        <w:t>。</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工资福利支出4355417.97元，商品和服务</w:t>
      </w:r>
      <w:r>
        <w:rPr>
          <w:rFonts w:hint="eastAsia" w:ascii="仿宋_GB2312" w:hAnsi="宋体" w:eastAsia="仿宋_GB2312"/>
          <w:sz w:val="32"/>
          <w:szCs w:val="32"/>
          <w:lang w:val="en-US" w:eastAsia="zh-CN"/>
        </w:rPr>
        <w:t>99000.00</w:t>
      </w:r>
      <w:r>
        <w:rPr>
          <w:rFonts w:hint="eastAsia" w:ascii="仿宋_GB2312" w:hAnsi="宋体" w:eastAsia="仿宋_GB2312"/>
          <w:sz w:val="32"/>
          <w:szCs w:val="32"/>
        </w:rPr>
        <w:t>元，对个人和家庭的补助</w:t>
      </w:r>
      <w:r>
        <w:rPr>
          <w:rFonts w:hint="eastAsia" w:ascii="仿宋_GB2312" w:hAnsi="宋体" w:eastAsia="仿宋_GB2312"/>
          <w:sz w:val="32"/>
          <w:szCs w:val="32"/>
          <w:lang w:val="en-US" w:eastAsia="zh-CN"/>
        </w:rPr>
        <w:t>0</w:t>
      </w:r>
      <w:r>
        <w:rPr>
          <w:rFonts w:hint="eastAsia" w:ascii="仿宋_GB2312" w:hAnsi="宋体" w:eastAsia="仿宋_GB2312"/>
          <w:sz w:val="32"/>
          <w:szCs w:val="32"/>
        </w:rPr>
        <w:t>元，基本建设支出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元。</w:t>
      </w:r>
      <w:r>
        <w:rPr>
          <w:rFonts w:hint="eastAsia" w:ascii="仿宋_GB2312" w:hAnsi="宋体" w:eastAsia="仿宋_GB2312"/>
          <w:sz w:val="32"/>
          <w:szCs w:val="32"/>
          <w:lang w:val="en-US" w:eastAsia="zh-CN"/>
        </w:rPr>
        <w:t>比上年无变化。</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（一）一般公共服务支出</w:t>
      </w:r>
      <w:r>
        <w:rPr>
          <w:rFonts w:hint="eastAsia" w:ascii="仿宋_GB2312" w:hAnsi="黑体" w:eastAsia="仿宋_GB2312"/>
          <w:sz w:val="32"/>
          <w:szCs w:val="32"/>
        </w:rPr>
        <w:t>2022年预算支出</w:t>
      </w:r>
      <w:r>
        <w:rPr>
          <w:rFonts w:hint="eastAsia" w:ascii="仿宋_GB2312" w:hAnsi="黑体" w:eastAsia="仿宋_GB2312"/>
          <w:sz w:val="32"/>
          <w:szCs w:val="32"/>
          <w:lang w:val="en-US" w:eastAsia="zh-CN"/>
        </w:rPr>
        <w:t>52066.32</w:t>
      </w:r>
      <w:r>
        <w:rPr>
          <w:rFonts w:hint="eastAsia" w:ascii="仿宋_GB2312" w:hAnsi="黑体" w:eastAsia="仿宋_GB2312"/>
          <w:sz w:val="32"/>
          <w:szCs w:val="32"/>
        </w:rPr>
        <w:t>元，比上年预算数</w:t>
      </w:r>
      <w:r>
        <w:rPr>
          <w:rFonts w:hint="eastAsia" w:ascii="仿宋_GB2312" w:hAnsi="宋体" w:eastAsia="仿宋_GB2312"/>
          <w:sz w:val="32"/>
          <w:szCs w:val="32"/>
          <w:lang w:val="en-US" w:eastAsia="zh-CN"/>
        </w:rPr>
        <w:t>增加65.65</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人员调入及工会事务支出增加。</w:t>
      </w:r>
      <w:r>
        <w:rPr>
          <w:rFonts w:hint="eastAsia" w:ascii="仿宋_GB2312" w:hAnsi="黑体" w:eastAsia="仿宋_GB2312"/>
          <w:b/>
          <w:sz w:val="32"/>
          <w:szCs w:val="32"/>
        </w:rPr>
        <w:t>（二）社会保障和就业支出（类</w:t>
      </w:r>
      <w:r>
        <w:rPr>
          <w:rFonts w:hint="eastAsia" w:ascii="仿宋_GB2312" w:hAnsi="黑体" w:eastAsia="仿宋_GB2312"/>
          <w:sz w:val="32"/>
          <w:szCs w:val="32"/>
        </w:rPr>
        <w:t>）行政事业单位养老支出（款）2022年预算支出416530.56元，比上年预算数</w:t>
      </w:r>
      <w:r>
        <w:rPr>
          <w:rFonts w:hint="eastAsia" w:ascii="仿宋_GB2312" w:hAnsi="宋体" w:eastAsia="仿宋_GB2312"/>
          <w:sz w:val="32"/>
          <w:szCs w:val="32"/>
          <w:lang w:val="en-US" w:eastAsia="zh-CN"/>
        </w:rPr>
        <w:t>增加11.17</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机关事业单位基本养老保险缴费支出（项）2022年预算支出416530.56元，比上年预算数</w:t>
      </w:r>
      <w:r>
        <w:rPr>
          <w:rFonts w:hint="eastAsia" w:ascii="仿宋_GB2312" w:hAnsi="宋体" w:eastAsia="仿宋_GB2312"/>
          <w:sz w:val="32"/>
          <w:szCs w:val="32"/>
          <w:lang w:val="en-US" w:eastAsia="zh-CN"/>
        </w:rPr>
        <w:t>增加11.17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人员增加，机关事业单位基本养老保险缴费支出增加。</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财政对其他社会保险基金的补</w:t>
      </w:r>
      <w:r>
        <w:rPr>
          <w:rFonts w:hint="eastAsia" w:ascii="仿宋_GB2312" w:hAnsi="黑体" w:eastAsia="仿宋_GB2312"/>
          <w:sz w:val="32"/>
          <w:szCs w:val="32"/>
          <w:lang w:val="en-US" w:eastAsia="zh-CN"/>
        </w:rPr>
        <w:t>助</w:t>
      </w:r>
      <w:r>
        <w:rPr>
          <w:rFonts w:hint="eastAsia" w:ascii="仿宋_GB2312" w:hAnsi="黑体" w:eastAsia="仿宋_GB2312"/>
          <w:sz w:val="32"/>
          <w:szCs w:val="32"/>
        </w:rPr>
        <w:t>（款）2022年预算支出5206.63元，比上年预算数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财政对工伤保险基金的补助（项）2022年预算支出5206.63元，比上年预算数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上年度未</w:t>
      </w:r>
      <w:r>
        <w:rPr>
          <w:rFonts w:hint="eastAsia" w:ascii="仿宋_GB2312" w:hAnsi="宋体" w:eastAsia="仿宋_GB2312"/>
          <w:sz w:val="32"/>
          <w:szCs w:val="32"/>
          <w:lang w:eastAsia="zh-CN"/>
        </w:rPr>
        <w:t>列入本单位预算</w:t>
      </w:r>
      <w:r>
        <w:rPr>
          <w:rFonts w:hint="eastAsia" w:ascii="仿宋_GB2312" w:hAnsi="宋体" w:eastAsia="仿宋_GB2312"/>
          <w:sz w:val="32"/>
          <w:szCs w:val="32"/>
          <w:lang w:val="en-US" w:eastAsia="zh-CN"/>
        </w:rPr>
        <w:t>。</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三</w:t>
      </w:r>
      <w:r>
        <w:rPr>
          <w:rFonts w:hint="eastAsia" w:ascii="仿宋_GB2312" w:hAnsi="黑体" w:eastAsia="仿宋_GB2312"/>
          <w:b/>
          <w:sz w:val="32"/>
          <w:szCs w:val="32"/>
        </w:rPr>
        <w:t>）卫生健康支出（类</w:t>
      </w:r>
      <w:r>
        <w:rPr>
          <w:rFonts w:hint="eastAsia" w:ascii="仿宋_GB2312" w:hAnsi="黑体" w:eastAsia="仿宋_GB2312"/>
          <w:sz w:val="32"/>
          <w:szCs w:val="32"/>
        </w:rPr>
        <w:t>）财政对基本医疗保险基金的补助（款）2022年预算支出173319.54元，比上年预算数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宋体" w:eastAsia="仿宋_GB2312"/>
          <w:sz w:val="32"/>
          <w:szCs w:val="32"/>
        </w:rPr>
      </w:pPr>
      <w:r>
        <w:rPr>
          <w:rFonts w:hint="eastAsia" w:ascii="仿宋_GB2312" w:hAnsi="黑体" w:eastAsia="仿宋_GB2312"/>
          <w:sz w:val="32"/>
          <w:szCs w:val="32"/>
        </w:rPr>
        <w:t>财政对职工基本医疗保险基金的补助（项）2022年预算支出173319.54元，比上年预算数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w:t>
      </w:r>
      <w:r>
        <w:rPr>
          <w:rFonts w:hint="eastAsia" w:ascii="仿宋_GB2312" w:hAnsi="宋体" w:eastAsia="仿宋_GB2312"/>
          <w:sz w:val="32"/>
          <w:szCs w:val="32"/>
        </w:rPr>
        <w:t>原因是</w:t>
      </w:r>
      <w:r>
        <w:rPr>
          <w:rFonts w:hint="eastAsia" w:ascii="仿宋_GB2312" w:hAnsi="宋体" w:eastAsia="仿宋_GB2312"/>
          <w:sz w:val="32"/>
          <w:szCs w:val="32"/>
          <w:lang w:val="en-US" w:eastAsia="zh-CN"/>
        </w:rPr>
        <w:t>未列入</w:t>
      </w:r>
      <w:bookmarkStart w:id="0" w:name="_GoBack"/>
      <w:bookmarkEnd w:id="0"/>
      <w:r>
        <w:rPr>
          <w:rFonts w:hint="eastAsia" w:ascii="仿宋_GB2312" w:hAnsi="宋体" w:eastAsia="仿宋_GB2312"/>
          <w:sz w:val="32"/>
          <w:szCs w:val="32"/>
          <w:lang w:val="en-US" w:eastAsia="zh-CN"/>
        </w:rPr>
        <w:t>单位预算</w:t>
      </w:r>
      <w:r>
        <w:rPr>
          <w:rFonts w:hint="eastAsia" w:ascii="仿宋_GB2312" w:hAnsi="宋体" w:eastAsia="仿宋_GB2312"/>
          <w:sz w:val="32"/>
          <w:szCs w:val="32"/>
        </w:rPr>
        <w:t>。</w:t>
      </w:r>
    </w:p>
    <w:p>
      <w:pPr>
        <w:spacing w:line="640" w:lineRule="exact"/>
        <w:ind w:firstLine="643" w:firstLineChars="200"/>
        <w:rPr>
          <w:rFonts w:hint="eastAsia" w:ascii="仿宋_GB2312" w:hAnsi="黑体" w:eastAsia="仿宋_GB2312"/>
          <w:sz w:val="32"/>
          <w:szCs w:val="32"/>
          <w:lang w:eastAsia="zh-CN"/>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）农林水支出</w:t>
      </w:r>
      <w:r>
        <w:rPr>
          <w:rFonts w:hint="eastAsia" w:ascii="仿宋_GB2312" w:hAnsi="黑体" w:eastAsia="仿宋_GB2312"/>
          <w:sz w:val="32"/>
          <w:szCs w:val="32"/>
        </w:rPr>
        <w:t>2022年预算支出3494897.00元，比上年预算数</w:t>
      </w:r>
      <w:r>
        <w:rPr>
          <w:rFonts w:hint="eastAsia" w:ascii="仿宋_GB2312" w:hAnsi="宋体" w:eastAsia="仿宋_GB2312"/>
          <w:sz w:val="32"/>
          <w:szCs w:val="32"/>
          <w:lang w:val="en-US" w:eastAsia="zh-CN"/>
        </w:rPr>
        <w:t>增加21.02</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eastAsia="zh-CN"/>
        </w:rPr>
        <w:t>增加的原因是：人员调入，正常晋升、工资增加。</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五</w:t>
      </w:r>
      <w:r>
        <w:rPr>
          <w:rFonts w:hint="eastAsia" w:ascii="仿宋_GB2312" w:hAnsi="黑体" w:eastAsia="仿宋_GB2312"/>
          <w:b/>
          <w:sz w:val="32"/>
          <w:szCs w:val="32"/>
        </w:rPr>
        <w:t>）住房保障支出（类</w:t>
      </w:r>
      <w:r>
        <w:rPr>
          <w:rFonts w:hint="eastAsia" w:ascii="仿宋_GB2312" w:hAnsi="黑体" w:eastAsia="仿宋_GB2312"/>
          <w:sz w:val="32"/>
          <w:szCs w:val="32"/>
        </w:rPr>
        <w:t>）住房改革支出（款）2022年预算支出312397.92元，比上年预算数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住房公积金（项）2022年预算支出312397.92元，比上年预算数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eastAsia="zh-CN"/>
        </w:rPr>
        <w:t>增加的原因是：</w:t>
      </w:r>
      <w:r>
        <w:rPr>
          <w:rFonts w:hint="eastAsia" w:ascii="仿宋_GB2312" w:hAnsi="黑体" w:eastAsia="仿宋_GB2312"/>
          <w:sz w:val="32"/>
          <w:szCs w:val="32"/>
          <w:lang w:val="en-US" w:eastAsia="zh-CN"/>
        </w:rPr>
        <w:t>上年度未</w:t>
      </w:r>
      <w:r>
        <w:rPr>
          <w:rFonts w:hint="eastAsia" w:ascii="仿宋_GB2312" w:hAnsi="黑体" w:eastAsia="仿宋_GB2312"/>
          <w:sz w:val="32"/>
          <w:szCs w:val="32"/>
          <w:lang w:eastAsia="zh-CN"/>
        </w:rPr>
        <w:t>列入单位预算。</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spacing w:line="640" w:lineRule="exact"/>
        <w:ind w:firstLine="640" w:firstLineChars="200"/>
      </w:pPr>
      <w:r>
        <w:rPr>
          <w:rFonts w:hint="eastAsia" w:ascii="仿宋_GB2312" w:hAnsi="黑体" w:eastAsia="仿宋_GB2312"/>
          <w:sz w:val="32"/>
          <w:szCs w:val="32"/>
        </w:rPr>
        <w:t>2022年一般公共预算基本支出</w:t>
      </w:r>
      <w:r>
        <w:rPr>
          <w:rFonts w:hint="eastAsia" w:ascii="仿宋_GB2312" w:hAnsi="宋体" w:eastAsia="仿宋_GB2312"/>
          <w:sz w:val="32"/>
          <w:szCs w:val="32"/>
        </w:rPr>
        <w:t>4454417.97</w:t>
      </w:r>
      <w:r>
        <w:rPr>
          <w:rFonts w:hint="eastAsia" w:ascii="仿宋_GB2312" w:hAnsi="黑体" w:eastAsia="仿宋_GB2312"/>
          <w:sz w:val="32"/>
          <w:szCs w:val="32"/>
        </w:rPr>
        <w:t>元，其中：人员经费4355417.97元，单位运转经费99000元，专项资金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w:t>
      </w:r>
      <w:r>
        <w:rPr>
          <w:rFonts w:hint="eastAsia" w:ascii="仿宋_GB2312" w:hAnsi="宋体" w:eastAsia="仿宋_GB2312"/>
          <w:sz w:val="32"/>
          <w:szCs w:val="32"/>
          <w:lang w:val="en-US" w:eastAsia="zh-CN"/>
        </w:rPr>
        <w:t>增加35.23</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人员调入，工资增加，社会保障就业支出增加，卫生健康支出，住房保障支出增加。</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val="en-US" w:eastAsia="zh-CN"/>
        </w:rPr>
        <w:t>比上年预算数无变化</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val="en-US" w:eastAsia="zh-CN"/>
        </w:rPr>
        <w:t>比上年预算数无变化</w:t>
      </w:r>
      <w:r>
        <w:rPr>
          <w:rFonts w:hint="eastAsia" w:ascii="仿宋_GB2312" w:hAnsi="黑体" w:eastAsia="仿宋_GB2312"/>
          <w:sz w:val="32"/>
          <w:szCs w:val="32"/>
        </w:rPr>
        <w:t>。</w:t>
      </w:r>
    </w:p>
    <w:p>
      <w:pPr>
        <w:spacing w:line="6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（二）公务接待费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val="en-US" w:eastAsia="zh-CN"/>
        </w:rPr>
        <w:t>比上年预算数无变化</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元，比上年预算数增加</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元，其中：公务用车购置费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元，比变化情况；公务用车运行费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元，比上年预算数增长</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val="en-US" w:eastAsia="zh-CN"/>
        </w:rPr>
        <w:t>比上年预算数无变化</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比上年预算数无变化</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比上年预算数无变化</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lang w:val="en-US" w:eastAsia="zh-CN"/>
        </w:rPr>
        <w:t>99000</w:t>
      </w:r>
      <w:r>
        <w:rPr>
          <w:rFonts w:hint="eastAsia" w:ascii="仿宋_GB2312" w:hAnsi="黑体" w:eastAsia="仿宋_GB2312"/>
          <w:sz w:val="32"/>
          <w:szCs w:val="32"/>
        </w:rPr>
        <w:t>元，比上年预算数增加</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元。政府采购预算</w:t>
      </w:r>
      <w:r>
        <w:rPr>
          <w:rFonts w:hint="eastAsia" w:ascii="仿宋_GB2312" w:hAnsi="黑体" w:eastAsia="仿宋_GB2312"/>
          <w:sz w:val="32"/>
          <w:szCs w:val="32"/>
          <w:lang w:val="en-US" w:eastAsia="zh-CN"/>
        </w:rPr>
        <w:t>25000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减少10000</w:t>
      </w:r>
      <w:r>
        <w:rPr>
          <w:rFonts w:hint="eastAsia" w:ascii="仿宋_GB2312" w:hAnsi="黑体" w:eastAsia="仿宋_GB2312"/>
          <w:sz w:val="32"/>
          <w:szCs w:val="32"/>
        </w:rPr>
        <w:t>元，</w:t>
      </w:r>
      <w:r>
        <w:rPr>
          <w:rFonts w:hint="eastAsia" w:ascii="仿宋_GB2312" w:hAnsi="黑体" w:eastAsia="仿宋_GB2312"/>
          <w:sz w:val="32"/>
          <w:szCs w:val="32"/>
          <w:lang w:val="en-US" w:eastAsia="zh-CN"/>
        </w:rPr>
        <w:t>下降28.57</w:t>
      </w:r>
      <w:r>
        <w:rPr>
          <w:rFonts w:hint="eastAsia" w:ascii="仿宋_GB2312" w:hAnsi="黑体" w:eastAsia="仿宋_GB2312"/>
          <w:sz w:val="32"/>
          <w:szCs w:val="32"/>
        </w:rPr>
        <w:t>%，</w:t>
      </w:r>
      <w:r>
        <w:rPr>
          <w:rFonts w:hint="eastAsia" w:ascii="仿宋_GB2312" w:hAnsi="黑体" w:eastAsia="仿宋_GB2312"/>
          <w:sz w:val="32"/>
          <w:szCs w:val="32"/>
          <w:lang w:eastAsia="zh-CN"/>
        </w:rPr>
        <w:t>减少的原因是</w:t>
      </w:r>
      <w:r>
        <w:rPr>
          <w:rFonts w:hint="eastAsia" w:ascii="仿宋_GB2312" w:hAnsi="黑体" w:eastAsia="仿宋_GB2312"/>
          <w:sz w:val="32"/>
          <w:szCs w:val="32"/>
        </w:rPr>
        <w:t>：</w:t>
      </w:r>
      <w:r>
        <w:rPr>
          <w:rFonts w:hint="eastAsia" w:ascii="仿宋_GB2312" w:hAnsi="黑体" w:eastAsia="仿宋_GB2312"/>
          <w:sz w:val="32"/>
          <w:szCs w:val="32"/>
          <w:lang w:val="en-US" w:eastAsia="zh-CN"/>
        </w:rPr>
        <w:t>无设备购置</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25000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2FlMGI2ZDdiMzMxYzBiMjY2NDJiZGU0MjJkMWY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EC3F1D"/>
    <w:rsid w:val="00F00669"/>
    <w:rsid w:val="00F3279B"/>
    <w:rsid w:val="00F42002"/>
    <w:rsid w:val="00F67610"/>
    <w:rsid w:val="00F9776C"/>
    <w:rsid w:val="047D2F82"/>
    <w:rsid w:val="059F6DC6"/>
    <w:rsid w:val="05BC24B2"/>
    <w:rsid w:val="060021DC"/>
    <w:rsid w:val="064D410C"/>
    <w:rsid w:val="06746E88"/>
    <w:rsid w:val="06BE6228"/>
    <w:rsid w:val="07EA6CFD"/>
    <w:rsid w:val="0A116753"/>
    <w:rsid w:val="0B896034"/>
    <w:rsid w:val="0D824E94"/>
    <w:rsid w:val="0DEE673A"/>
    <w:rsid w:val="0E6F37D9"/>
    <w:rsid w:val="0FC0065E"/>
    <w:rsid w:val="104355C3"/>
    <w:rsid w:val="112936A0"/>
    <w:rsid w:val="1250416D"/>
    <w:rsid w:val="13B82E0D"/>
    <w:rsid w:val="141D039C"/>
    <w:rsid w:val="15AD1303"/>
    <w:rsid w:val="17432B85"/>
    <w:rsid w:val="1909264A"/>
    <w:rsid w:val="198119BE"/>
    <w:rsid w:val="1B285D95"/>
    <w:rsid w:val="1B78482C"/>
    <w:rsid w:val="1C6D1D31"/>
    <w:rsid w:val="1D654F62"/>
    <w:rsid w:val="204B1966"/>
    <w:rsid w:val="205A7194"/>
    <w:rsid w:val="210F4887"/>
    <w:rsid w:val="22273516"/>
    <w:rsid w:val="2233056C"/>
    <w:rsid w:val="23513756"/>
    <w:rsid w:val="250F1490"/>
    <w:rsid w:val="27704261"/>
    <w:rsid w:val="292A0545"/>
    <w:rsid w:val="2B26350E"/>
    <w:rsid w:val="2B5C1C56"/>
    <w:rsid w:val="2BB93917"/>
    <w:rsid w:val="2BCF3D4E"/>
    <w:rsid w:val="2D550DF7"/>
    <w:rsid w:val="2DBA0562"/>
    <w:rsid w:val="31352995"/>
    <w:rsid w:val="32A96D1A"/>
    <w:rsid w:val="34032DB0"/>
    <w:rsid w:val="34B82D6F"/>
    <w:rsid w:val="373703E1"/>
    <w:rsid w:val="37580FE7"/>
    <w:rsid w:val="375E3A4D"/>
    <w:rsid w:val="396616D2"/>
    <w:rsid w:val="39A71DAE"/>
    <w:rsid w:val="3A4F1E7D"/>
    <w:rsid w:val="3D8C4411"/>
    <w:rsid w:val="3DD54A4A"/>
    <w:rsid w:val="40465DD0"/>
    <w:rsid w:val="40CC1D5D"/>
    <w:rsid w:val="416268DB"/>
    <w:rsid w:val="452F6292"/>
    <w:rsid w:val="468736DC"/>
    <w:rsid w:val="47AF499B"/>
    <w:rsid w:val="484D612A"/>
    <w:rsid w:val="48A9072C"/>
    <w:rsid w:val="4D903B41"/>
    <w:rsid w:val="4DA8126D"/>
    <w:rsid w:val="4DD72226"/>
    <w:rsid w:val="4EA300AE"/>
    <w:rsid w:val="50622DD8"/>
    <w:rsid w:val="5167205F"/>
    <w:rsid w:val="51C77E42"/>
    <w:rsid w:val="54B1376D"/>
    <w:rsid w:val="56097BCB"/>
    <w:rsid w:val="56311F34"/>
    <w:rsid w:val="564548F7"/>
    <w:rsid w:val="565305B1"/>
    <w:rsid w:val="56C73340"/>
    <w:rsid w:val="586D5458"/>
    <w:rsid w:val="59441D15"/>
    <w:rsid w:val="5A3206F2"/>
    <w:rsid w:val="5D795194"/>
    <w:rsid w:val="5E4A1EF9"/>
    <w:rsid w:val="5E6E28AE"/>
    <w:rsid w:val="5FDC17A8"/>
    <w:rsid w:val="61EF1B1B"/>
    <w:rsid w:val="621A3658"/>
    <w:rsid w:val="62881E22"/>
    <w:rsid w:val="62B62979"/>
    <w:rsid w:val="64231B2D"/>
    <w:rsid w:val="64252B6E"/>
    <w:rsid w:val="651520BC"/>
    <w:rsid w:val="661A6258"/>
    <w:rsid w:val="68017D1D"/>
    <w:rsid w:val="6A136FDE"/>
    <w:rsid w:val="6A752B54"/>
    <w:rsid w:val="6C3B44F1"/>
    <w:rsid w:val="6CA54782"/>
    <w:rsid w:val="6EA6456E"/>
    <w:rsid w:val="6ECD58F9"/>
    <w:rsid w:val="7046682A"/>
    <w:rsid w:val="71FE6C54"/>
    <w:rsid w:val="74517818"/>
    <w:rsid w:val="75840CDB"/>
    <w:rsid w:val="75FA50B5"/>
    <w:rsid w:val="76260296"/>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11"/>
    <w:basedOn w:val="8"/>
    <w:qFormat/>
    <w:uiPriority w:val="0"/>
    <w:rPr>
      <w:rFonts w:hint="default" w:ascii="Calibri" w:hAnsi="Calibri" w:cs="Calibri"/>
      <w:color w:val="000000"/>
      <w:sz w:val="16"/>
      <w:szCs w:val="16"/>
      <w:u w:val="none"/>
    </w:rPr>
  </w:style>
  <w:style w:type="character" w:customStyle="1" w:styleId="13">
    <w:name w:val="font41"/>
    <w:basedOn w:val="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16</Pages>
  <Words>4208</Words>
  <Characters>4613</Characters>
  <Lines>16</Lines>
  <Paragraphs>4</Paragraphs>
  <TotalTime>2</TotalTime>
  <ScaleCrop>false</ScaleCrop>
  <LinksUpToDate>false</LinksUpToDate>
  <CharactersWithSpaces>4664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绩效评价中心</cp:lastModifiedBy>
  <cp:lastPrinted>2022-04-13T10:13:00Z</cp:lastPrinted>
  <dcterms:modified xsi:type="dcterms:W3CDTF">2023-06-07T09:40:13Z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23DDD1DB4CAF473ABCC4114958B5A3F1_13</vt:lpwstr>
  </property>
</Properties>
</file>