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东乡族自治县苏孟学校</w:t>
      </w:r>
      <w:r>
        <w:rPr>
          <w:rFonts w:hint="eastAsia" w:ascii="方正小标宋简体" w:eastAsia="方正小标宋简体"/>
          <w:sz w:val="72"/>
          <w:szCs w:val="72"/>
          <w:highlight w:val="none"/>
        </w:rPr>
        <w:t>部门预</w:t>
      </w:r>
      <w:r>
        <w:rPr>
          <w:rFonts w:hint="eastAsia" w:ascii="方正小标宋简体" w:eastAsia="方正小标宋简体"/>
          <w:sz w:val="72"/>
          <w:szCs w:val="72"/>
        </w:rPr>
        <w:t>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lang w:eastAsia="zh-CN"/>
        </w:rPr>
        <w:t>2022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ind w:left="1350" w:leftChars="0" w:firstLineChars="0"/>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七）完成教育主管部门和上级政府委托的各项工作任务。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hint="eastAsia" w:ascii="仿宋_GB2312" w:hAnsi="黑体" w:eastAsia="仿宋_GB2312"/>
          <w:b w:val="0"/>
          <w:bCs/>
          <w:sz w:val="32"/>
          <w:szCs w:val="32"/>
        </w:rPr>
      </w:pPr>
      <w:r>
        <w:rPr>
          <w:rFonts w:hint="eastAsia" w:ascii="仿宋_GB2312" w:hAnsi="宋体" w:eastAsia="仿宋_GB2312" w:cs="宋体"/>
          <w:kern w:val="0"/>
          <w:sz w:val="32"/>
          <w:szCs w:val="32"/>
          <w:highlight w:val="none"/>
        </w:rPr>
        <w:t>根据上述职责，东乡族自治县</w:t>
      </w:r>
      <w:r>
        <w:rPr>
          <w:rFonts w:hint="eastAsia" w:ascii="仿宋_GB2312" w:hAnsi="宋体" w:eastAsia="仿宋_GB2312" w:cs="宋体"/>
          <w:kern w:val="0"/>
          <w:sz w:val="32"/>
          <w:szCs w:val="32"/>
          <w:highlight w:val="none"/>
          <w:lang w:eastAsia="zh-CN"/>
        </w:rPr>
        <w:t>苏孟学校</w:t>
      </w:r>
      <w:r>
        <w:rPr>
          <w:rFonts w:hint="eastAsia" w:ascii="仿宋_GB2312" w:hAnsi="宋体" w:eastAsia="仿宋_GB2312" w:cs="宋体"/>
          <w:kern w:val="0"/>
          <w:sz w:val="32"/>
          <w:szCs w:val="32"/>
          <w:highlight w:val="none"/>
        </w:rPr>
        <w:t>内设7个职能处（委、</w:t>
      </w:r>
      <w:r>
        <w:rPr>
          <w:rFonts w:hint="eastAsia" w:ascii="仿宋_GB2312" w:hAnsi="黑体" w:eastAsia="仿宋_GB2312"/>
          <w:b w:val="0"/>
          <w:bCs/>
          <w:sz w:val="32"/>
          <w:szCs w:val="32"/>
          <w:highlight w:val="none"/>
        </w:rPr>
        <w:t>室</w:t>
      </w:r>
      <w:r>
        <w:rPr>
          <w:rFonts w:hint="eastAsia" w:ascii="仿宋_GB2312" w:hAnsi="黑体" w:eastAsia="仿宋_GB2312"/>
          <w:b w:val="0"/>
          <w:bCs/>
          <w:sz w:val="32"/>
          <w:szCs w:val="32"/>
        </w:rPr>
        <w:t>）：</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（一）办公室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（二）教务处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（三）教研室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政教处</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（五）纪检室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主要职责：负责学校党务、校务、财务公开和相关决策制度执行情况的监督；对师生、家长反映的热点问题进行协调和反馈。</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（六）团委</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（七）总务处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年预算收入3367899.17元，其中：一般公共预算财政拨款收入3367899.17元，政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 xml:space="preserve"> 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3367899.17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无增减变化的主要原因是：上年未单独做预算。</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39178.32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39178.32</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教育支出2646385</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317344.39元。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129921.54元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235069.92元</w:t>
      </w:r>
      <w:r>
        <w:rPr>
          <w:rFonts w:hint="eastAsia" w:ascii="仿宋_GB2312" w:hAnsi="宋体" w:eastAsia="仿宋_GB2312"/>
          <w:sz w:val="32"/>
          <w:szCs w:val="32"/>
          <w:highlight w:val="none"/>
          <w:lang w:eastAsia="zh-CN"/>
        </w:rPr>
        <w:t>。</w:t>
      </w:r>
    </w:p>
    <w:p>
      <w:pPr>
        <w:spacing w:line="640" w:lineRule="exact"/>
        <w:ind w:firstLine="643" w:firstLineChars="200"/>
        <w:rPr>
          <w:rFonts w:hint="default" w:ascii="仿宋_GB2312" w:hAnsi="黑体" w:eastAsia="仿宋_GB2312"/>
          <w:b/>
          <w:sz w:val="32"/>
          <w:szCs w:val="32"/>
          <w:highlight w:val="none"/>
          <w:lang w:val="en-US" w:eastAsia="zh-CN"/>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3367899.17</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 xml:space="preserve"> 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年预算支出39178.32元。其中：</w:t>
      </w:r>
      <w:r>
        <w:rPr>
          <w:rFonts w:hint="eastAsia" w:ascii="楷体_GB2312" w:hAnsi="黑体" w:eastAsia="楷体_GB2312"/>
          <w:b/>
          <w:sz w:val="32"/>
          <w:szCs w:val="32"/>
          <w:highlight w:val="none"/>
          <w:lang w:val="en-US" w:eastAsia="zh-CN"/>
        </w:rPr>
        <w:t>工会经费</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年预算支出39178.32元。</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（二）</w:t>
      </w:r>
      <w:r>
        <w:rPr>
          <w:rFonts w:hint="eastAsia" w:ascii="仿宋_GB2312" w:hAnsi="黑体" w:eastAsia="仿宋_GB2312"/>
          <w:b/>
          <w:bCs/>
          <w:sz w:val="32"/>
          <w:szCs w:val="32"/>
          <w:highlight w:val="none"/>
        </w:rPr>
        <w:t>教育支出</w:t>
      </w:r>
      <w:r>
        <w:rPr>
          <w:rFonts w:hint="eastAsia" w:ascii="仿宋_GB2312" w:hAnsi="黑体" w:eastAsia="仿宋_GB2312"/>
          <w:b/>
          <w:bCs/>
          <w:sz w:val="32"/>
          <w:szCs w:val="32"/>
          <w:highlight w:val="none"/>
          <w:lang w:eastAsia="zh-CN"/>
        </w:rPr>
        <w:t>（类）普通教育（款）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w:t>
      </w:r>
      <w:r>
        <w:rPr>
          <w:rFonts w:hint="eastAsia" w:ascii="仿宋_GB2312" w:hAnsi="黑体" w:eastAsia="仿宋_GB2312"/>
          <w:b w:val="0"/>
          <w:bCs w:val="0"/>
          <w:sz w:val="32"/>
          <w:szCs w:val="32"/>
          <w:highlight w:val="none"/>
          <w:lang w:eastAsia="zh-CN"/>
        </w:rPr>
        <w:t>2646385元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其中：初中教育（项）2022</w:t>
      </w:r>
      <w:r>
        <w:rPr>
          <w:rFonts w:hint="eastAsia" w:ascii="仿宋_GB2312" w:hAnsi="黑体" w:eastAsia="仿宋_GB2312"/>
          <w:sz w:val="32"/>
          <w:szCs w:val="32"/>
          <w:highlight w:val="none"/>
        </w:rPr>
        <w:t>年预算支出</w:t>
      </w:r>
      <w:r>
        <w:rPr>
          <w:rFonts w:hint="eastAsia" w:ascii="仿宋_GB2312" w:hAnsi="黑体" w:eastAsia="仿宋_GB2312"/>
          <w:b w:val="0"/>
          <w:bCs w:val="0"/>
          <w:sz w:val="32"/>
          <w:szCs w:val="32"/>
          <w:highlight w:val="none"/>
          <w:lang w:eastAsia="zh-CN"/>
        </w:rPr>
        <w:t>2646385元</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b/>
          <w:bCs/>
          <w:sz w:val="32"/>
          <w:szCs w:val="32"/>
          <w:highlight w:val="none"/>
          <w:lang w:eastAsia="zh-CN"/>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三</w:t>
      </w:r>
      <w:r>
        <w:rPr>
          <w:rFonts w:hint="eastAsia" w:ascii="楷体_GB2312" w:hAnsi="黑体" w:eastAsia="楷体_GB2312"/>
          <w:b/>
          <w:sz w:val="32"/>
          <w:szCs w:val="32"/>
          <w:highlight w:val="none"/>
        </w:rPr>
        <w:t>）社会保障和就业支出（类）</w:t>
      </w:r>
      <w:r>
        <w:rPr>
          <w:rFonts w:hint="eastAsia" w:ascii="楷体_GB2312" w:hAnsi="黑体" w:eastAsia="楷体_GB2312"/>
          <w:b/>
          <w:sz w:val="32"/>
          <w:szCs w:val="32"/>
          <w:highlight w:val="none"/>
          <w:lang w:val="en-US" w:eastAsia="zh-CN"/>
        </w:rPr>
        <w:t>行政事业单位养老支出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eastAsia="zh-CN"/>
        </w:rPr>
        <w:t>313426.56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其中： 机关事业单位基本养老保险缴费支出（项）313426.56元</w:t>
      </w:r>
      <w:r>
        <w:rPr>
          <w:rFonts w:hint="eastAsia" w:ascii="仿宋_GB2312" w:hAnsi="黑体" w:eastAsia="仿宋_GB2312"/>
          <w:sz w:val="32"/>
          <w:szCs w:val="32"/>
          <w:highlight w:val="none"/>
        </w:rPr>
        <w:t xml:space="preserve">。 </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年预算支出3917.83</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lang w:eastAsia="zh-CN"/>
        </w:rPr>
        <w:t>，其中：财政对工伤保险基金的补助（项）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年预算支出3917.83</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 xml:space="preserve"> 财政对基本医疗保险基金的补助</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年预算支出129921.54元</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val="en-US" w:eastAsia="zh-CN"/>
        </w:rPr>
        <w:t xml:space="preserve"> 财政对职工基本医疗保险基金的补助</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年预算支出129921.54元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住房改革支出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年预算支出235069.92元。其中：</w:t>
      </w:r>
      <w:r>
        <w:rPr>
          <w:rFonts w:hint="eastAsia" w:ascii="楷体_GB2312" w:hAnsi="黑体" w:eastAsia="楷体_GB2312"/>
          <w:b/>
          <w:sz w:val="32"/>
          <w:szCs w:val="32"/>
          <w:highlight w:val="none"/>
          <w:lang w:val="en-US" w:eastAsia="zh-CN"/>
        </w:rPr>
        <w:t>住房公积金</w:t>
      </w:r>
      <w:r>
        <w:rPr>
          <w:rFonts w:hint="eastAsia" w:ascii="仿宋_GB2312" w:hAnsi="黑体" w:eastAsia="仿宋_GB2312"/>
          <w:sz w:val="32"/>
          <w:szCs w:val="32"/>
          <w:highlight w:val="none"/>
        </w:rPr>
        <w:t>（项）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年预算支出235069.92元。</w:t>
      </w:r>
    </w:p>
    <w:p>
      <w:pPr>
        <w:spacing w:line="640" w:lineRule="exact"/>
        <w:ind w:firstLine="640" w:firstLineChars="200"/>
        <w:rPr>
          <w:rFonts w:hint="eastAsia" w:ascii="黑体" w:hAnsi="黑体" w:eastAsia="黑体"/>
          <w:sz w:val="32"/>
          <w:szCs w:val="32"/>
          <w:highlight w:val="none"/>
          <w:lang w:eastAsia="zh-CN"/>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年一般公共预算基本支出3367899.17元，其中：人员经费3367899.17元，单位运转经费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b/>
          <w:sz w:val="52"/>
          <w:szCs w:val="52"/>
          <w:highlight w:val="none"/>
        </w:rPr>
      </w:pP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年机关运行经费预算</w:t>
      </w:r>
      <w:r>
        <w:rPr>
          <w:rFonts w:hint="eastAsia" w:ascii="仿宋_GB2312" w:hAnsi="黑体" w:eastAsia="仿宋_GB2312"/>
          <w:sz w:val="32"/>
          <w:szCs w:val="32"/>
          <w:highlight w:val="none"/>
          <w:lang w:val="en-US" w:eastAsia="zh-CN"/>
        </w:rPr>
        <w:t xml:space="preserve"> 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无采购预算</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jc w:val="center"/>
        <w:rPr>
          <w:rFonts w:hint="eastAsia" w:ascii="仿宋_GB2312" w:hAnsi="黑体" w:eastAsia="仿宋_GB2312"/>
          <w:b/>
          <w:sz w:val="52"/>
          <w:szCs w:val="52"/>
          <w:highlight w:val="none"/>
        </w:rPr>
      </w:pPr>
      <w:bookmarkStart w:id="0" w:name="_GoBack"/>
      <w:bookmarkEnd w:id="0"/>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50" w:hanging="720"/>
      </w:pPr>
      <w:rPr>
        <w:rFonts w:hint="default"/>
      </w:rPr>
    </w:lvl>
    <w:lvl w:ilvl="1" w:tentative="0">
      <w:start w:val="1"/>
      <w:numFmt w:val="lowerLetter"/>
      <w:lvlText w:val="%2)"/>
      <w:lvlJc w:val="left"/>
      <w:pPr>
        <w:tabs>
          <w:tab w:val="left" w:pos="1480"/>
        </w:tabs>
        <w:ind w:left="1060" w:hanging="420"/>
      </w:pPr>
    </w:lvl>
    <w:lvl w:ilvl="2" w:tentative="0">
      <w:start w:val="1"/>
      <w:numFmt w:val="lowerRoman"/>
      <w:lvlText w:val="%3."/>
      <w:lvlJc w:val="right"/>
      <w:pPr>
        <w:tabs>
          <w:tab w:val="left" w:pos="1900"/>
        </w:tabs>
        <w:ind w:left="1480" w:hanging="420"/>
      </w:pPr>
    </w:lvl>
    <w:lvl w:ilvl="3" w:tentative="0">
      <w:start w:val="1"/>
      <w:numFmt w:val="decimal"/>
      <w:lvlText w:val="%4."/>
      <w:lvlJc w:val="left"/>
      <w:pPr>
        <w:tabs>
          <w:tab w:val="left" w:pos="2320"/>
        </w:tabs>
        <w:ind w:left="1900" w:hanging="420"/>
      </w:pPr>
    </w:lvl>
    <w:lvl w:ilvl="4" w:tentative="0">
      <w:start w:val="1"/>
      <w:numFmt w:val="lowerLetter"/>
      <w:lvlText w:val="%5)"/>
      <w:lvlJc w:val="left"/>
      <w:pPr>
        <w:tabs>
          <w:tab w:val="left" w:pos="2740"/>
        </w:tabs>
        <w:ind w:left="2320" w:hanging="420"/>
      </w:pPr>
    </w:lvl>
    <w:lvl w:ilvl="5" w:tentative="0">
      <w:start w:val="1"/>
      <w:numFmt w:val="lowerRoman"/>
      <w:lvlText w:val="%6."/>
      <w:lvlJc w:val="right"/>
      <w:pPr>
        <w:tabs>
          <w:tab w:val="left" w:pos="3160"/>
        </w:tabs>
        <w:ind w:left="2740" w:hanging="420"/>
      </w:pPr>
    </w:lvl>
    <w:lvl w:ilvl="6" w:tentative="0">
      <w:start w:val="1"/>
      <w:numFmt w:val="decimal"/>
      <w:lvlText w:val="%7."/>
      <w:lvlJc w:val="left"/>
      <w:pPr>
        <w:tabs>
          <w:tab w:val="left" w:pos="3580"/>
        </w:tabs>
        <w:ind w:left="3160" w:hanging="420"/>
      </w:pPr>
    </w:lvl>
    <w:lvl w:ilvl="7" w:tentative="0">
      <w:start w:val="1"/>
      <w:numFmt w:val="lowerLetter"/>
      <w:lvlText w:val="%8)"/>
      <w:lvlJc w:val="left"/>
      <w:pPr>
        <w:tabs>
          <w:tab w:val="left" w:pos="4000"/>
        </w:tabs>
        <w:ind w:left="3580" w:hanging="420"/>
      </w:pPr>
    </w:lvl>
    <w:lvl w:ilvl="8" w:tentative="0">
      <w:start w:val="1"/>
      <w:numFmt w:val="lowerRoman"/>
      <w:lvlText w:val="%9."/>
      <w:lvlJc w:val="right"/>
      <w:pPr>
        <w:tabs>
          <w:tab w:val="left" w:pos="442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0FD56E5"/>
    <w:rsid w:val="025A34EF"/>
    <w:rsid w:val="047D2F82"/>
    <w:rsid w:val="060021DC"/>
    <w:rsid w:val="064D410C"/>
    <w:rsid w:val="06746E88"/>
    <w:rsid w:val="06821B95"/>
    <w:rsid w:val="0689383B"/>
    <w:rsid w:val="07EA6CFD"/>
    <w:rsid w:val="0A116753"/>
    <w:rsid w:val="0B896034"/>
    <w:rsid w:val="0D824E94"/>
    <w:rsid w:val="0E6F37D9"/>
    <w:rsid w:val="112936A0"/>
    <w:rsid w:val="1250416D"/>
    <w:rsid w:val="127B3B2F"/>
    <w:rsid w:val="13B82E0D"/>
    <w:rsid w:val="141D039C"/>
    <w:rsid w:val="17432B85"/>
    <w:rsid w:val="17AC7EF2"/>
    <w:rsid w:val="189B32F6"/>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B82D6F"/>
    <w:rsid w:val="373703E1"/>
    <w:rsid w:val="37580FE7"/>
    <w:rsid w:val="39276F80"/>
    <w:rsid w:val="396616D2"/>
    <w:rsid w:val="39A71DAE"/>
    <w:rsid w:val="3D8C4411"/>
    <w:rsid w:val="3FB86B84"/>
    <w:rsid w:val="40465DD0"/>
    <w:rsid w:val="40CC1D5D"/>
    <w:rsid w:val="416268DB"/>
    <w:rsid w:val="42B07FE6"/>
    <w:rsid w:val="43365961"/>
    <w:rsid w:val="4407632C"/>
    <w:rsid w:val="452F6292"/>
    <w:rsid w:val="46AC58DB"/>
    <w:rsid w:val="47AF499B"/>
    <w:rsid w:val="484D612A"/>
    <w:rsid w:val="48A9072C"/>
    <w:rsid w:val="4C7C718B"/>
    <w:rsid w:val="4D903B41"/>
    <w:rsid w:val="4DA8126D"/>
    <w:rsid w:val="4DD72226"/>
    <w:rsid w:val="4E4A12EF"/>
    <w:rsid w:val="4EA300AE"/>
    <w:rsid w:val="50185588"/>
    <w:rsid w:val="50622DD8"/>
    <w:rsid w:val="50A705A1"/>
    <w:rsid w:val="51C77E42"/>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6230554"/>
    <w:rsid w:val="67285316"/>
    <w:rsid w:val="6A136FDE"/>
    <w:rsid w:val="6A752B54"/>
    <w:rsid w:val="6EA6456E"/>
    <w:rsid w:val="74517818"/>
    <w:rsid w:val="74FC0C47"/>
    <w:rsid w:val="75840CDB"/>
    <w:rsid w:val="759F5F29"/>
    <w:rsid w:val="75FA50B5"/>
    <w:rsid w:val="77781E83"/>
    <w:rsid w:val="78062181"/>
    <w:rsid w:val="794965D5"/>
    <w:rsid w:val="79D61FC6"/>
    <w:rsid w:val="7CF82ADB"/>
    <w:rsid w:val="7E582D05"/>
    <w:rsid w:val="7F2E2508"/>
    <w:rsid w:val="7FAD366B"/>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3537</Words>
  <Characters>3985</Characters>
  <Lines>16</Lines>
  <Paragraphs>4</Paragraphs>
  <TotalTime>4</TotalTime>
  <ScaleCrop>false</ScaleCrop>
  <LinksUpToDate>false</LinksUpToDate>
  <CharactersWithSpaces>4041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2023-06-05T13:59:58Z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CE6606ADB9BD4A65BE0D652024BEEB3A</vt:lpwstr>
  </property>
</Properties>
</file>