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rPr>
        <w:t>东乡县信访局部门预算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tabs>
          <w:tab w:val="left" w:pos="2977"/>
        </w:tabs>
        <w:ind w:firstLine="6000" w:firstLineChars="1250"/>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Theme="minorEastAsia" w:hAnsiTheme="minorEastAsia" w:eastAsiaTheme="minorEastAsia"/>
          <w:sz w:val="44"/>
          <w:szCs w:val="44"/>
        </w:rPr>
      </w:pPr>
      <w:r>
        <w:rPr>
          <w:rFonts w:hint="eastAsia" w:asciiTheme="minorEastAsia" w:hAnsiTheme="minorEastAsia" w:eastAsiaTheme="minorEastAsia"/>
          <w:sz w:val="44"/>
          <w:szCs w:val="44"/>
        </w:rPr>
        <w:t>部门职责</w:t>
      </w:r>
    </w:p>
    <w:p>
      <w:pPr>
        <w:spacing w:before="278" w:line="224" w:lineRule="auto"/>
        <w:ind w:left="640" w:firstLine="736" w:firstLineChars="200"/>
        <w:rPr>
          <w:rFonts w:ascii="仿宋" w:hAnsi="仿宋" w:eastAsia="仿宋" w:cs="仿宋"/>
          <w:sz w:val="34"/>
          <w:szCs w:val="34"/>
        </w:rPr>
      </w:pPr>
      <w:r>
        <w:rPr>
          <w:rFonts w:ascii="仿宋" w:hAnsi="仿宋" w:eastAsia="仿宋" w:cs="仿宋"/>
          <w:spacing w:val="14"/>
          <w:sz w:val="34"/>
          <w:szCs w:val="34"/>
        </w:rPr>
        <w:t>(一</w:t>
      </w:r>
      <w:r>
        <w:rPr>
          <w:rFonts w:ascii="仿宋" w:hAnsi="仿宋" w:eastAsia="仿宋" w:cs="仿宋"/>
          <w:spacing w:val="12"/>
          <w:sz w:val="34"/>
          <w:szCs w:val="34"/>
        </w:rPr>
        <w:t>)</w:t>
      </w:r>
      <w:r>
        <w:rPr>
          <w:rFonts w:ascii="仿宋" w:hAnsi="仿宋" w:eastAsia="仿宋" w:cs="仿宋"/>
          <w:spacing w:val="7"/>
          <w:sz w:val="34"/>
          <w:szCs w:val="34"/>
        </w:rPr>
        <w:t>接待和处理人民群众给县委、县政府的来信和来访，保证信访渠道畅通；为群众提</w:t>
      </w:r>
      <w:r>
        <w:rPr>
          <w:rFonts w:ascii="仿宋" w:hAnsi="仿宋" w:eastAsia="仿宋" w:cs="仿宋"/>
          <w:sz w:val="34"/>
          <w:szCs w:val="34"/>
        </w:rPr>
        <w:t xml:space="preserve"> </w:t>
      </w:r>
      <w:r>
        <w:rPr>
          <w:rFonts w:ascii="仿宋" w:hAnsi="仿宋" w:eastAsia="仿宋" w:cs="仿宋"/>
          <w:spacing w:val="-2"/>
          <w:sz w:val="34"/>
          <w:szCs w:val="34"/>
        </w:rPr>
        <w:t>供政策、法</w:t>
      </w:r>
      <w:r>
        <w:rPr>
          <w:rFonts w:ascii="仿宋" w:hAnsi="仿宋" w:eastAsia="仿宋" w:cs="仿宋"/>
          <w:spacing w:val="-1"/>
          <w:sz w:val="34"/>
          <w:szCs w:val="34"/>
        </w:rPr>
        <w:t xml:space="preserve">律咨询服务。 </w:t>
      </w:r>
      <w:r>
        <w:rPr>
          <w:rFonts w:hint="eastAsia" w:ascii="仿宋" w:hAnsi="仿宋" w:eastAsia="仿宋" w:cs="仿宋"/>
          <w:spacing w:val="-1"/>
          <w:sz w:val="34"/>
          <w:szCs w:val="34"/>
        </w:rPr>
        <w:t xml:space="preserve">  </w:t>
      </w:r>
      <w:r>
        <w:rPr>
          <w:rFonts w:ascii="仿宋" w:hAnsi="仿宋" w:eastAsia="仿宋" w:cs="仿宋"/>
          <w:spacing w:val="-1"/>
          <w:sz w:val="34"/>
          <w:szCs w:val="34"/>
        </w:rPr>
        <w:t>(二)承办并反馈县委、县政府领导和上级机关批转及交办的重要</w:t>
      </w:r>
      <w:r>
        <w:rPr>
          <w:rFonts w:ascii="仿宋" w:hAnsi="仿宋" w:eastAsia="仿宋" w:cs="仿宋"/>
          <w:sz w:val="34"/>
          <w:szCs w:val="34"/>
        </w:rPr>
        <w:t xml:space="preserve"> </w:t>
      </w:r>
      <w:r>
        <w:rPr>
          <w:rFonts w:ascii="仿宋" w:hAnsi="仿宋" w:eastAsia="仿宋" w:cs="仿宋"/>
          <w:spacing w:val="14"/>
          <w:sz w:val="34"/>
          <w:szCs w:val="34"/>
        </w:rPr>
        <w:t>信访事项</w:t>
      </w:r>
      <w:r>
        <w:rPr>
          <w:rFonts w:ascii="仿宋" w:hAnsi="仿宋" w:eastAsia="仿宋" w:cs="仿宋"/>
          <w:spacing w:val="9"/>
          <w:sz w:val="34"/>
          <w:szCs w:val="34"/>
        </w:rPr>
        <w:t>，</w:t>
      </w:r>
      <w:r>
        <w:rPr>
          <w:rFonts w:ascii="仿宋" w:hAnsi="仿宋" w:eastAsia="仿宋" w:cs="仿宋"/>
          <w:spacing w:val="7"/>
          <w:sz w:val="34"/>
          <w:szCs w:val="34"/>
        </w:rPr>
        <w:t>督查领导批示件的落实情况；向乡(镇)和县直部门交办信访案件，督促检查重要</w:t>
      </w:r>
      <w:r>
        <w:rPr>
          <w:rFonts w:ascii="仿宋" w:hAnsi="仿宋" w:eastAsia="仿宋" w:cs="仿宋"/>
          <w:sz w:val="34"/>
          <w:szCs w:val="34"/>
        </w:rPr>
        <w:t xml:space="preserve"> </w:t>
      </w:r>
      <w:r>
        <w:rPr>
          <w:rFonts w:ascii="仿宋" w:hAnsi="仿宋" w:eastAsia="仿宋" w:cs="仿宋"/>
          <w:spacing w:val="-1"/>
          <w:sz w:val="34"/>
          <w:szCs w:val="34"/>
        </w:rPr>
        <w:t>信访事项的处理和落实；通报全县重大突出的信访问</w:t>
      </w:r>
      <w:r>
        <w:rPr>
          <w:rFonts w:ascii="仿宋" w:hAnsi="仿宋" w:eastAsia="仿宋" w:cs="仿宋"/>
          <w:sz w:val="34"/>
          <w:szCs w:val="34"/>
        </w:rPr>
        <w:t xml:space="preserve">题；直接调查或参与有关部门需共同处理 </w:t>
      </w:r>
      <w:r>
        <w:rPr>
          <w:rFonts w:ascii="仿宋" w:hAnsi="仿宋" w:eastAsia="仿宋" w:cs="仿宋"/>
          <w:spacing w:val="12"/>
          <w:sz w:val="34"/>
          <w:szCs w:val="34"/>
        </w:rPr>
        <w:t>的信访事</w:t>
      </w:r>
      <w:r>
        <w:rPr>
          <w:rFonts w:ascii="仿宋" w:hAnsi="仿宋" w:eastAsia="仿宋" w:cs="仿宋"/>
          <w:spacing w:val="11"/>
          <w:sz w:val="34"/>
          <w:szCs w:val="34"/>
        </w:rPr>
        <w:t>项</w:t>
      </w:r>
      <w:r>
        <w:rPr>
          <w:rFonts w:ascii="仿宋" w:hAnsi="仿宋" w:eastAsia="仿宋" w:cs="仿宋"/>
          <w:spacing w:val="6"/>
          <w:sz w:val="34"/>
          <w:szCs w:val="34"/>
        </w:rPr>
        <w:t>。  (三)协调处理跨乡(镇)、跨部门的重要信访问题；协调处理群众到县上访</w:t>
      </w:r>
      <w:r>
        <w:rPr>
          <w:rFonts w:ascii="仿宋" w:hAnsi="仿宋" w:eastAsia="仿宋" w:cs="仿宋"/>
          <w:sz w:val="34"/>
          <w:szCs w:val="34"/>
        </w:rPr>
        <w:t xml:space="preserve"> </w:t>
      </w:r>
      <w:r>
        <w:rPr>
          <w:rFonts w:ascii="仿宋" w:hAnsi="仿宋" w:eastAsia="仿宋" w:cs="仿宋"/>
          <w:spacing w:val="-1"/>
          <w:sz w:val="34"/>
          <w:szCs w:val="34"/>
        </w:rPr>
        <w:t>和异常、突发信访事件；依法及时化解疏导和处理各</w:t>
      </w:r>
      <w:r>
        <w:rPr>
          <w:rFonts w:ascii="仿宋" w:hAnsi="仿宋" w:eastAsia="仿宋" w:cs="仿宋"/>
          <w:sz w:val="34"/>
          <w:szCs w:val="34"/>
        </w:rPr>
        <w:t xml:space="preserve">种信访矛盾与纠纷，维护全县的社会稳定 </w:t>
      </w:r>
      <w:r>
        <w:rPr>
          <w:rFonts w:ascii="仿宋" w:hAnsi="仿宋" w:eastAsia="仿宋" w:cs="仿宋"/>
          <w:spacing w:val="-2"/>
          <w:sz w:val="34"/>
          <w:szCs w:val="34"/>
        </w:rPr>
        <w:t>。   (四)调查</w:t>
      </w:r>
      <w:r>
        <w:rPr>
          <w:rFonts w:ascii="仿宋" w:hAnsi="仿宋" w:eastAsia="仿宋" w:cs="仿宋"/>
          <w:spacing w:val="-1"/>
          <w:sz w:val="34"/>
          <w:szCs w:val="34"/>
        </w:rPr>
        <w:t>研究，了解社情民意，及时分析提供信访信息，为县委、县政府领导提供科学</w:t>
      </w:r>
      <w:r>
        <w:rPr>
          <w:rFonts w:ascii="仿宋" w:hAnsi="仿宋" w:eastAsia="仿宋" w:cs="仿宋"/>
          <w:sz w:val="34"/>
          <w:szCs w:val="34"/>
        </w:rPr>
        <w:t xml:space="preserve"> </w:t>
      </w:r>
      <w:r>
        <w:rPr>
          <w:rFonts w:ascii="仿宋" w:hAnsi="仿宋" w:eastAsia="仿宋" w:cs="仿宋"/>
          <w:spacing w:val="-2"/>
          <w:sz w:val="34"/>
          <w:szCs w:val="34"/>
        </w:rPr>
        <w:t>决策服</w:t>
      </w:r>
      <w:r>
        <w:rPr>
          <w:rFonts w:ascii="仿宋" w:hAnsi="仿宋" w:eastAsia="仿宋" w:cs="仿宋"/>
          <w:spacing w:val="-1"/>
          <w:sz w:val="34"/>
          <w:szCs w:val="34"/>
        </w:rPr>
        <w:t>务，发挥参谋助手作用。   (五)布置、检查、协调和指导全县信访工作；研究、草拟</w:t>
      </w:r>
      <w:r>
        <w:rPr>
          <w:rFonts w:ascii="仿宋" w:hAnsi="仿宋" w:eastAsia="仿宋" w:cs="仿宋"/>
          <w:sz w:val="34"/>
          <w:szCs w:val="34"/>
        </w:rPr>
        <w:t xml:space="preserve"> </w:t>
      </w:r>
      <w:r>
        <w:rPr>
          <w:rFonts w:ascii="仿宋" w:hAnsi="仿宋" w:eastAsia="仿宋" w:cs="仿宋"/>
          <w:spacing w:val="8"/>
          <w:sz w:val="34"/>
          <w:szCs w:val="34"/>
        </w:rPr>
        <w:t>全县有关信访工作的政策和规章制度草案；总结推广各乡(镇)、县直各部门信访工作经</w:t>
      </w:r>
      <w:r>
        <w:rPr>
          <w:rFonts w:ascii="仿宋" w:hAnsi="仿宋" w:eastAsia="仿宋" w:cs="仿宋"/>
          <w:spacing w:val="5"/>
          <w:sz w:val="34"/>
          <w:szCs w:val="34"/>
        </w:rPr>
        <w:t>验</w:t>
      </w:r>
      <w:r>
        <w:rPr>
          <w:rFonts w:ascii="仿宋" w:hAnsi="仿宋" w:eastAsia="仿宋" w:cs="仿宋"/>
          <w:sz w:val="34"/>
          <w:szCs w:val="34"/>
        </w:rPr>
        <w:t xml:space="preserve">  </w:t>
      </w:r>
      <w:r>
        <w:rPr>
          <w:rFonts w:ascii="仿宋" w:hAnsi="仿宋" w:eastAsia="仿宋" w:cs="仿宋"/>
          <w:spacing w:val="-1"/>
          <w:sz w:val="34"/>
          <w:szCs w:val="34"/>
        </w:rPr>
        <w:t>，提出改进和加强信访工作的意见和建议。   (六)了解掌握全县信访工作机构和队伍建设情</w:t>
      </w:r>
      <w:r>
        <w:rPr>
          <w:rFonts w:ascii="仿宋" w:hAnsi="仿宋" w:eastAsia="仿宋" w:cs="仿宋"/>
          <w:sz w:val="34"/>
          <w:szCs w:val="34"/>
        </w:rPr>
        <w:t xml:space="preserve"> </w:t>
      </w:r>
      <w:r>
        <w:rPr>
          <w:rFonts w:ascii="仿宋" w:hAnsi="仿宋" w:eastAsia="仿宋" w:cs="仿宋"/>
          <w:spacing w:val="-2"/>
          <w:sz w:val="34"/>
          <w:szCs w:val="34"/>
        </w:rPr>
        <w:t>况，组织信访干部培训。   (七)办理县委、县政府及</w:t>
      </w:r>
      <w:r>
        <w:rPr>
          <w:rFonts w:ascii="仿宋" w:hAnsi="仿宋" w:eastAsia="仿宋" w:cs="仿宋"/>
          <w:spacing w:val="-1"/>
          <w:sz w:val="34"/>
          <w:szCs w:val="34"/>
        </w:rPr>
        <w:t>上级主管部门交办的其他事项。</w:t>
      </w:r>
    </w:p>
    <w:p>
      <w:pPr>
        <w:spacing w:line="640" w:lineRule="exact"/>
        <w:ind w:firstLine="645"/>
        <w:rPr>
          <w:rFonts w:asciiTheme="minorEastAsia" w:hAnsiTheme="minorEastAsia" w:eastAsiaTheme="minorEastAsia"/>
          <w:sz w:val="44"/>
          <w:szCs w:val="44"/>
        </w:rPr>
      </w:pPr>
      <w:r>
        <w:rPr>
          <w:rFonts w:hint="eastAsia" w:asciiTheme="minorEastAsia" w:hAnsiTheme="minorEastAsia" w:eastAsiaTheme="minorEastAsia"/>
          <w:sz w:val="44"/>
          <w:szCs w:val="44"/>
        </w:rPr>
        <w:t>二、机构设置</w:t>
      </w:r>
    </w:p>
    <w:p>
      <w:pPr>
        <w:spacing w:before="92" w:line="241" w:lineRule="auto"/>
        <w:ind w:left="694" w:firstLine="336" w:firstLineChars="100"/>
        <w:rPr>
          <w:rFonts w:ascii="仿宋" w:hAnsi="仿宋" w:eastAsia="仿宋" w:cs="仿宋"/>
          <w:sz w:val="34"/>
          <w:szCs w:val="34"/>
        </w:rPr>
      </w:pPr>
      <w:r>
        <w:rPr>
          <w:rFonts w:ascii="仿宋" w:hAnsi="仿宋" w:eastAsia="仿宋" w:cs="仿宋"/>
          <w:spacing w:val="-2"/>
          <w:sz w:val="34"/>
          <w:szCs w:val="34"/>
        </w:rPr>
        <w:t>1.综合办公室</w:t>
      </w:r>
      <w:r>
        <w:rPr>
          <w:rFonts w:ascii="仿宋" w:hAnsi="仿宋" w:eastAsia="仿宋" w:cs="仿宋"/>
          <w:spacing w:val="-1"/>
          <w:sz w:val="34"/>
          <w:szCs w:val="34"/>
        </w:rPr>
        <w:t xml:space="preserve">  2.办信接访股  3.驻外地信访联络股</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both"/>
        <w:rPr>
          <w:rFonts w:hint="eastAsia" w:ascii="仿宋_GB2312" w:hAnsi="黑体" w:eastAsia="仿宋_GB2312"/>
          <w:b/>
          <w:sz w:val="52"/>
          <w:szCs w:val="52"/>
        </w:rPr>
      </w:pPr>
    </w:p>
    <w:p>
      <w:pPr>
        <w:spacing w:line="840" w:lineRule="exact"/>
        <w:jc w:val="center"/>
        <w:rPr>
          <w:rFonts w:hint="eastAsia" w:ascii="仿宋_GB2312" w:hAnsi="黑体" w:eastAsia="仿宋_GB2312"/>
          <w:b/>
          <w:color w:val="000000" w:themeColor="text1"/>
          <w:sz w:val="52"/>
          <w:szCs w:val="52"/>
          <w14:textFill>
            <w14:solidFill>
              <w14:schemeClr w14:val="tx1"/>
            </w14:solidFill>
          </w14:textFill>
        </w:rPr>
      </w:pPr>
    </w:p>
    <w:p>
      <w:pPr>
        <w:spacing w:line="840" w:lineRule="exact"/>
        <w:jc w:val="center"/>
        <w:rPr>
          <w:rFonts w:hint="eastAsia" w:ascii="仿宋_GB2312" w:hAnsi="黑体" w:eastAsia="仿宋_GB2312"/>
          <w:b/>
          <w:color w:val="000000" w:themeColor="text1"/>
          <w:sz w:val="52"/>
          <w:szCs w:val="52"/>
          <w14:textFill>
            <w14:solidFill>
              <w14:schemeClr w14:val="tx1"/>
            </w14:solidFill>
          </w14:textFill>
        </w:rPr>
      </w:pPr>
    </w:p>
    <w:p>
      <w:pPr>
        <w:spacing w:line="840" w:lineRule="exact"/>
        <w:jc w:val="center"/>
        <w:rPr>
          <w:rFonts w:hint="eastAsia" w:ascii="仿宋_GB2312" w:hAnsi="黑体" w:eastAsia="仿宋_GB2312"/>
          <w:b/>
          <w:color w:val="000000" w:themeColor="text1"/>
          <w:sz w:val="52"/>
          <w:szCs w:val="52"/>
          <w14:textFill>
            <w14:solidFill>
              <w14:schemeClr w14:val="tx1"/>
            </w14:solidFill>
          </w14:textFill>
        </w:rPr>
      </w:pPr>
    </w:p>
    <w:p>
      <w:pPr>
        <w:spacing w:line="840" w:lineRule="exact"/>
        <w:jc w:val="center"/>
        <w:rPr>
          <w:rFonts w:hint="eastAsia" w:ascii="仿宋_GB2312" w:hAnsi="黑体" w:eastAsia="仿宋_GB2312"/>
          <w:b/>
          <w:color w:val="000000" w:themeColor="text1"/>
          <w:sz w:val="52"/>
          <w:szCs w:val="52"/>
          <w14:textFill>
            <w14:solidFill>
              <w14:schemeClr w14:val="tx1"/>
            </w14:solidFill>
          </w14:textFill>
        </w:rPr>
      </w:pPr>
    </w:p>
    <w:p>
      <w:pPr>
        <w:spacing w:line="840" w:lineRule="exact"/>
        <w:jc w:val="center"/>
        <w:rPr>
          <w:rFonts w:hint="eastAsia" w:ascii="仿宋_GB2312" w:hAnsi="黑体" w:eastAsia="仿宋_GB2312"/>
          <w:b/>
          <w:color w:val="000000" w:themeColor="text1"/>
          <w:sz w:val="52"/>
          <w:szCs w:val="52"/>
          <w14:textFill>
            <w14:solidFill>
              <w14:schemeClr w14:val="tx1"/>
            </w14:solidFill>
          </w14:textFill>
        </w:rPr>
      </w:pPr>
    </w:p>
    <w:p>
      <w:pPr>
        <w:spacing w:line="840" w:lineRule="exact"/>
        <w:jc w:val="center"/>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52"/>
          <w:szCs w:val="52"/>
          <w14:textFill>
            <w14:solidFill>
              <w14:schemeClr w14:val="tx1"/>
            </w14:solidFill>
          </w14:textFill>
        </w:rPr>
        <w:t>第三部分  部门预算情况说明</w:t>
      </w:r>
      <w:r>
        <w:rPr>
          <w:rFonts w:hint="eastAsia" w:ascii="仿宋_GB2312" w:hAnsi="黑体" w:eastAsia="仿宋_GB2312"/>
          <w:color w:val="000000" w:themeColor="text1"/>
          <w:sz w:val="32"/>
          <w:szCs w:val="32"/>
          <w14:textFill>
            <w14:solidFill>
              <w14:schemeClr w14:val="tx1"/>
            </w14:solidFill>
          </w14:textFill>
        </w:rPr>
        <w:t xml:space="preserve">  </w:t>
      </w:r>
    </w:p>
    <w:p>
      <w:pPr>
        <w:spacing w:line="64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、部门预算总体说明</w:t>
      </w:r>
    </w:p>
    <w:p>
      <w:pPr>
        <w:spacing w:line="640" w:lineRule="exact"/>
        <w:ind w:firstLine="640" w:firstLineChars="200"/>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2022年预算收入</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3594260.82</w:t>
      </w:r>
      <w:r>
        <w:rPr>
          <w:rFonts w:hint="eastAsia" w:ascii="仿宋_GB2312" w:hAnsi="黑体" w:eastAsia="仿宋_GB2312"/>
          <w:color w:val="000000" w:themeColor="text1"/>
          <w:sz w:val="32"/>
          <w:szCs w:val="32"/>
          <w:highlight w:val="none"/>
          <w14:textFill>
            <w14:solidFill>
              <w14:schemeClr w14:val="tx1"/>
            </w14:solidFill>
          </w14:textFill>
        </w:rPr>
        <w:t>元，比上年预算</w:t>
      </w:r>
      <w:r>
        <w:rPr>
          <w:rFonts w:hint="eastAsia" w:ascii="仿宋_GB2312" w:hAnsi="黑体" w:eastAsia="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592369.82</w:t>
      </w:r>
      <w:r>
        <w:rPr>
          <w:rFonts w:hint="eastAsia" w:ascii="仿宋_GB2312" w:hAnsi="黑体" w:eastAsia="仿宋_GB2312"/>
          <w:color w:val="000000" w:themeColor="text1"/>
          <w:sz w:val="32"/>
          <w:szCs w:val="32"/>
          <w:highlight w:val="none"/>
          <w14:textFill>
            <w14:solidFill>
              <w14:schemeClr w14:val="tx1"/>
            </w14:solidFill>
          </w14:textFill>
        </w:rPr>
        <w:t>元，其中：一般公共预算财政拨款收入</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3594260.82</w:t>
      </w:r>
      <w:r>
        <w:rPr>
          <w:rFonts w:hint="eastAsia" w:ascii="仿宋_GB2312" w:hAnsi="黑体" w:eastAsia="仿宋_GB2312"/>
          <w:color w:val="000000" w:themeColor="text1"/>
          <w:sz w:val="32"/>
          <w:szCs w:val="32"/>
          <w:highlight w:val="none"/>
          <w14:textFill>
            <w14:solidFill>
              <w14:schemeClr w14:val="tx1"/>
            </w14:solidFill>
          </w14:textFill>
        </w:rPr>
        <w:t>元，政</w:t>
      </w:r>
      <w:r>
        <w:rPr>
          <w:rFonts w:hint="eastAsia" w:ascii="仿宋_GB2312" w:hAnsi="宋体" w:eastAsia="仿宋_GB2312"/>
          <w:color w:val="000000" w:themeColor="text1"/>
          <w:sz w:val="32"/>
          <w:szCs w:val="32"/>
          <w:highlight w:val="none"/>
          <w14:textFill>
            <w14:solidFill>
              <w14:schemeClr w14:val="tx1"/>
            </w14:solidFill>
          </w14:textFill>
        </w:rPr>
        <w:t>府性基金预算财政拨款收入</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0.00</w:t>
      </w:r>
      <w:r>
        <w:rPr>
          <w:rFonts w:hint="eastAsia" w:ascii="仿宋_GB2312" w:hAnsi="宋体" w:eastAsia="仿宋_GB2312"/>
          <w:color w:val="000000" w:themeColor="text1"/>
          <w:sz w:val="32"/>
          <w:szCs w:val="32"/>
          <w:highlight w:val="none"/>
          <w14:textFill>
            <w14:solidFill>
              <w14:schemeClr w14:val="tx1"/>
            </w14:solidFill>
          </w14:textFill>
        </w:rPr>
        <w:t>元。预算支出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3594260.82</w:t>
      </w:r>
      <w:r>
        <w:rPr>
          <w:rFonts w:hint="eastAsia" w:ascii="仿宋_GB2312" w:hAnsi="宋体" w:eastAsia="仿宋_GB2312"/>
          <w:color w:val="000000" w:themeColor="text1"/>
          <w:sz w:val="32"/>
          <w:szCs w:val="32"/>
          <w:highlight w:val="none"/>
          <w14:textFill>
            <w14:solidFill>
              <w14:schemeClr w14:val="tx1"/>
            </w14:solidFill>
          </w14:textFill>
        </w:rPr>
        <w:t>元，相应比上年预算数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19.73</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宋体" w:eastAsia="仿宋_GB2312"/>
          <w:color w:val="000000" w:themeColor="text1"/>
          <w:sz w:val="32"/>
          <w:szCs w:val="32"/>
          <w:highlight w:val="none"/>
          <w14:textFill>
            <w14:solidFill>
              <w14:schemeClr w14:val="tx1"/>
            </w14:solidFill>
          </w14:textFill>
        </w:rPr>
        <w:t>的主要原因是：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人员正常晋升调资等人员经费开支增加。</w:t>
      </w:r>
    </w:p>
    <w:p>
      <w:pPr>
        <w:spacing w:line="64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支出按功能分类科目安排为：</w:t>
      </w:r>
    </w:p>
    <w:p>
      <w:pPr>
        <w:spacing w:line="64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一般公共服务支出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2911454.96</w:t>
      </w:r>
      <w:r>
        <w:rPr>
          <w:rFonts w:hint="eastAsia" w:ascii="仿宋_GB2312" w:hAnsi="宋体" w:eastAsia="仿宋_GB2312"/>
          <w:color w:val="000000" w:themeColor="text1"/>
          <w:sz w:val="32"/>
          <w:szCs w:val="32"/>
          <w:highlight w:val="none"/>
          <w14:textFill>
            <w14:solidFill>
              <w14:schemeClr w14:val="tx1"/>
            </w14:solidFill>
          </w14:textFill>
        </w:rPr>
        <w:t>元，其中：财政拨款</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2911454.96</w:t>
      </w:r>
      <w:r>
        <w:rPr>
          <w:rFonts w:hint="eastAsia" w:ascii="仿宋_GB2312" w:hAnsi="宋体" w:eastAsia="仿宋_GB2312"/>
          <w:color w:val="000000" w:themeColor="text1"/>
          <w:sz w:val="32"/>
          <w:szCs w:val="32"/>
          <w:highlight w:val="none"/>
          <w14:textFill>
            <w14:solidFill>
              <w14:schemeClr w14:val="tx1"/>
            </w14:solidFill>
          </w14:textFill>
        </w:rPr>
        <w:t>元，比上年预算数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7.9</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主要原因是：</w:t>
      </w:r>
      <w:r>
        <w:rPr>
          <w:rFonts w:hint="eastAsia" w:ascii="仿宋_GB2312" w:hAnsi="宋体" w:eastAsia="仿宋_GB2312"/>
          <w:color w:val="000000" w:themeColor="text1"/>
          <w:sz w:val="32"/>
          <w:szCs w:val="32"/>
          <w:highlight w:val="none"/>
          <w:lang w:eastAsia="zh-CN"/>
          <w14:textFill>
            <w14:solidFill>
              <w14:schemeClr w14:val="tx1"/>
            </w14:solidFill>
          </w14:textFill>
        </w:rPr>
        <w:t>人员正常晋升及调资工会经费增加</w:t>
      </w:r>
      <w:r>
        <w:rPr>
          <w:rFonts w:hint="eastAsia" w:ascii="仿宋_GB2312" w:hAnsi="宋体" w:eastAsia="仿宋_GB2312"/>
          <w:color w:val="000000" w:themeColor="text1"/>
          <w:sz w:val="32"/>
          <w:szCs w:val="32"/>
          <w:highlight w:val="none"/>
          <w14:textFill>
            <w14:solidFill>
              <w14:schemeClr w14:val="tx1"/>
            </w14:solidFill>
          </w14:textFill>
        </w:rPr>
        <w:t>。</w:t>
      </w:r>
    </w:p>
    <w:p>
      <w:pPr>
        <w:spacing w:line="64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社会保障和就业支出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317462.98</w:t>
      </w:r>
      <w:r>
        <w:rPr>
          <w:rFonts w:hint="eastAsia" w:ascii="仿宋_GB2312" w:hAnsi="黑体" w:eastAsia="仿宋_GB2312"/>
          <w:color w:val="000000" w:themeColor="text1"/>
          <w:sz w:val="32"/>
          <w:szCs w:val="32"/>
          <w:highlight w:val="none"/>
          <w14:textFill>
            <w14:solidFill>
              <w14:schemeClr w14:val="tx1"/>
            </w14:solidFill>
          </w14:textFill>
        </w:rPr>
        <w:t>元</w:t>
      </w:r>
      <w:r>
        <w:rPr>
          <w:rFonts w:hint="eastAsia" w:ascii="仿宋_GB2312" w:hAnsi="宋体" w:eastAsia="仿宋_GB2312"/>
          <w:color w:val="000000" w:themeColor="text1"/>
          <w:sz w:val="32"/>
          <w:szCs w:val="32"/>
          <w:highlight w:val="none"/>
          <w14:textFill>
            <w14:solidFill>
              <w14:schemeClr w14:val="tx1"/>
            </w14:solidFill>
          </w14:textFill>
        </w:rPr>
        <w:t>，比上年预算数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4.4</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主要原因是：</w:t>
      </w:r>
      <w:r>
        <w:rPr>
          <w:rFonts w:hint="eastAsia" w:ascii="仿宋_GB2312" w:hAnsi="宋体" w:eastAsia="仿宋_GB2312"/>
          <w:color w:val="000000" w:themeColor="text1"/>
          <w:sz w:val="32"/>
          <w:szCs w:val="32"/>
          <w:highlight w:val="none"/>
          <w:lang w:eastAsia="zh-CN"/>
          <w14:textFill>
            <w14:solidFill>
              <w14:schemeClr w14:val="tx1"/>
            </w14:solidFill>
          </w14:textFill>
        </w:rPr>
        <w:t>人员正常晋升及调资缴费基数增加</w:t>
      </w:r>
      <w:r>
        <w:rPr>
          <w:rFonts w:hint="eastAsia" w:ascii="仿宋_GB2312" w:hAnsi="宋体" w:eastAsia="仿宋_GB2312"/>
          <w:color w:val="000000" w:themeColor="text1"/>
          <w:sz w:val="32"/>
          <w:szCs w:val="32"/>
          <w:highlight w:val="none"/>
          <w14:textFill>
            <w14:solidFill>
              <w14:schemeClr w14:val="tx1"/>
            </w14:solidFill>
          </w14:textFill>
        </w:rPr>
        <w:t>。</w:t>
      </w:r>
    </w:p>
    <w:p>
      <w:pPr>
        <w:spacing w:line="640" w:lineRule="exact"/>
        <w:ind w:left="638" w:leftChars="304" w:firstLine="0" w:firstLineChars="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eastAsia="zh-CN"/>
          <w14:textFill>
            <w14:solidFill>
              <w14:schemeClr w14:val="tx1"/>
            </w14:solidFill>
          </w14:textFill>
        </w:rPr>
        <w:t>卫生健康支出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130185.12元，</w:t>
      </w:r>
      <w:r>
        <w:rPr>
          <w:rFonts w:hint="eastAsia" w:ascii="仿宋_GB2312" w:hAnsi="宋体" w:eastAsia="仿宋_GB2312"/>
          <w:color w:val="000000" w:themeColor="text1"/>
          <w:sz w:val="32"/>
          <w:szCs w:val="32"/>
          <w:highlight w:val="none"/>
          <w14:textFill>
            <w14:solidFill>
              <w14:schemeClr w14:val="tx1"/>
            </w14:solidFill>
          </w14:textFill>
        </w:rPr>
        <w:t>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100</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sz w:val="32"/>
          <w:szCs w:val="32"/>
          <w:highlight w:val="none"/>
          <w:lang w:eastAsia="zh-CN"/>
        </w:rPr>
        <w:t>主要原因是卫生健康支出列入单位预算。</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住房保障支出235157.76，</w:t>
      </w:r>
      <w:r>
        <w:rPr>
          <w:rFonts w:hint="eastAsia" w:ascii="仿宋_GB2312" w:hAnsi="宋体" w:eastAsia="仿宋_GB2312"/>
          <w:color w:val="000000" w:themeColor="text1"/>
          <w:sz w:val="32"/>
          <w:szCs w:val="32"/>
          <w:highlight w:val="none"/>
          <w14:textFill>
            <w14:solidFill>
              <w14:schemeClr w14:val="tx1"/>
            </w14:solidFill>
          </w14:textFill>
        </w:rPr>
        <w:t>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100</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黑体" w:eastAsia="仿宋_GB2312"/>
          <w:sz w:val="32"/>
          <w:szCs w:val="32"/>
          <w:highlight w:val="none"/>
          <w:lang w:eastAsia="zh-CN"/>
        </w:rPr>
        <w:t>，主要原因是住房公积金列入单位预算</w:t>
      </w:r>
      <w:r>
        <w:rPr>
          <w:rFonts w:hint="eastAsia" w:ascii="仿宋_GB2312" w:hAnsi="宋体" w:eastAsia="仿宋_GB2312"/>
          <w:color w:val="000000" w:themeColor="text1"/>
          <w:sz w:val="32"/>
          <w:szCs w:val="32"/>
          <w:highlight w:val="none"/>
          <w14:textFill>
            <w14:solidFill>
              <w14:schemeClr w14:val="tx1"/>
            </w14:solidFill>
          </w14:textFill>
        </w:rPr>
        <w:t>。</w:t>
      </w:r>
    </w:p>
    <w:p>
      <w:pPr>
        <w:spacing w:line="640" w:lineRule="exact"/>
        <w:ind w:left="638" w:leftChars="304" w:firstLine="320" w:firstLineChars="100"/>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default" w:ascii="仿宋_GB2312" w:hAnsi="宋体" w:eastAsia="仿宋_GB2312"/>
          <w:color w:val="000000" w:themeColor="text1"/>
          <w:sz w:val="32"/>
          <w:szCs w:val="32"/>
          <w:highlight w:val="none"/>
          <w:lang w:val="en-US" w:eastAsia="zh-CN"/>
          <w14:textFill>
            <w14:solidFill>
              <w14:schemeClr w14:val="tx1"/>
            </w14:solidFill>
          </w14:textFill>
        </w:rPr>
        <w:t>支出部门经济分类科目</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安排为：</w:t>
      </w:r>
    </w:p>
    <w:p>
      <w:pPr>
        <w:spacing w:line="640" w:lineRule="exact"/>
        <w:ind w:left="638" w:leftChars="304" w:firstLine="320" w:firstLineChars="100"/>
        <w:rPr>
          <w:rFonts w:hint="default" w:ascii="仿宋_GB2312" w:hAnsi="宋体" w:eastAsia="仿宋_GB2312"/>
          <w:color w:val="000000" w:themeColor="text1"/>
          <w:sz w:val="32"/>
          <w:szCs w:val="32"/>
          <w:highlight w:val="none"/>
          <w:lang w:val="en-US" w:eastAsia="zh-CN"/>
          <w14:textFill>
            <w14:solidFill>
              <w14:schemeClr w14:val="tx1"/>
            </w14:solidFill>
          </w14:textFill>
        </w:rPr>
      </w:pPr>
      <w:r>
        <w:rPr>
          <w:rFonts w:hint="default" w:ascii="仿宋_GB2312" w:hAnsi="宋体" w:eastAsia="仿宋_GB2312"/>
          <w:color w:val="000000" w:themeColor="text1"/>
          <w:sz w:val="32"/>
          <w:szCs w:val="32"/>
          <w:highlight w:val="none"/>
          <w:lang w:val="en-US" w:eastAsia="zh-CN"/>
          <w14:textFill>
            <w14:solidFill>
              <w14:schemeClr w14:val="tx1"/>
            </w14:solidFill>
          </w14:textFill>
        </w:rPr>
        <w:t>工资福利支出</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3334260.82元，商品和服务支出80000.00元。</w:t>
      </w:r>
    </w:p>
    <w:p>
      <w:pPr>
        <w:spacing w:line="640" w:lineRule="exact"/>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二、部门一般公共预算支出情况说明</w:t>
      </w:r>
    </w:p>
    <w:p>
      <w:pPr>
        <w:spacing w:line="640" w:lineRule="exact"/>
        <w:ind w:firstLine="643" w:firstLineChars="20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楷体_GB2312" w:hAnsi="黑体" w:eastAsia="楷体_GB2312"/>
          <w:b/>
          <w:color w:val="000000" w:themeColor="text1"/>
          <w:sz w:val="32"/>
          <w:szCs w:val="32"/>
          <w:highlight w:val="none"/>
          <w14:textFill>
            <w14:solidFill>
              <w14:schemeClr w14:val="tx1"/>
            </w14:solidFill>
          </w14:textFill>
        </w:rPr>
        <w:t>（一）一般公共服务支出</w:t>
      </w:r>
      <w:r>
        <w:rPr>
          <w:rFonts w:hint="eastAsia" w:ascii="仿宋_GB2312" w:hAnsi="黑体" w:eastAsia="仿宋_GB2312"/>
          <w:b/>
          <w:bCs/>
          <w:color w:val="000000" w:themeColor="text1"/>
          <w:sz w:val="32"/>
          <w:szCs w:val="32"/>
          <w:highlight w:val="none"/>
          <w:lang w:val="en-US" w:eastAsia="zh-CN"/>
          <w14:textFill>
            <w14:solidFill>
              <w14:schemeClr w14:val="tx1"/>
            </w14:solidFill>
          </w14:textFill>
        </w:rPr>
        <w:t>（类）政府办公厅（室）及相关机构事务（款）</w:t>
      </w:r>
      <w:r>
        <w:rPr>
          <w:rFonts w:hint="eastAsia" w:ascii="仿宋_GB2312" w:hAnsi="黑体" w:eastAsia="仿宋_GB2312"/>
          <w:color w:val="000000" w:themeColor="text1"/>
          <w:sz w:val="32"/>
          <w:szCs w:val="32"/>
          <w:highlight w:val="none"/>
          <w14:textFill>
            <w14:solidFill>
              <w14:schemeClr w14:val="tx1"/>
            </w14:solidFill>
          </w14:textFill>
        </w:rPr>
        <w:t>2022年预算支出2872262.00元，</w:t>
      </w:r>
      <w:r>
        <w:rPr>
          <w:rFonts w:hint="eastAsia" w:ascii="仿宋_GB2312" w:hAnsi="宋体" w:eastAsia="仿宋_GB2312"/>
          <w:color w:val="000000" w:themeColor="text1"/>
          <w:sz w:val="32"/>
          <w:szCs w:val="32"/>
          <w:highlight w:val="none"/>
          <w14:textFill>
            <w14:solidFill>
              <w14:schemeClr w14:val="tx1"/>
            </w14:solidFill>
          </w14:textFill>
        </w:rPr>
        <w:t>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7.4</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，其中：信访事务</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(项）</w:t>
      </w:r>
      <w:r>
        <w:rPr>
          <w:rFonts w:hint="eastAsia" w:ascii="仿宋_GB2312" w:hAnsi="黑体" w:eastAsia="仿宋_GB2312"/>
          <w:color w:val="000000" w:themeColor="text1"/>
          <w:sz w:val="32"/>
          <w:szCs w:val="32"/>
          <w:highlight w:val="none"/>
          <w14:textFill>
            <w14:solidFill>
              <w14:schemeClr w14:val="tx1"/>
            </w14:solidFill>
          </w14:textFill>
        </w:rPr>
        <w:t>2022年预算支出2872262.00元，</w:t>
      </w:r>
      <w:r>
        <w:rPr>
          <w:rFonts w:hint="eastAsia" w:ascii="仿宋_GB2312" w:hAnsi="宋体" w:eastAsia="仿宋_GB2312"/>
          <w:color w:val="000000" w:themeColor="text1"/>
          <w:sz w:val="32"/>
          <w:szCs w:val="32"/>
          <w:highlight w:val="none"/>
          <w14:textFill>
            <w14:solidFill>
              <w14:schemeClr w14:val="tx1"/>
            </w14:solidFill>
          </w14:textFill>
        </w:rPr>
        <w:t>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7.4</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b/>
          <w:bCs/>
          <w:sz w:val="32"/>
          <w:szCs w:val="32"/>
          <w:highlight w:val="none"/>
          <w:lang w:eastAsia="zh-CN"/>
        </w:rPr>
        <w:t>群众团体事务支出（款）</w:t>
      </w:r>
      <w:r>
        <w:rPr>
          <w:rFonts w:hint="eastAsia" w:ascii="仿宋_GB2312" w:hAnsi="黑体" w:eastAsia="仿宋_GB2312"/>
          <w:color w:val="000000" w:themeColor="text1"/>
          <w:sz w:val="32"/>
          <w:szCs w:val="32"/>
          <w:highlight w:val="none"/>
          <w14:textFill>
            <w14:solidFill>
              <w14:schemeClr w14:val="tx1"/>
            </w14:solidFill>
          </w14:textFill>
        </w:rPr>
        <w:t>2022年预算支出</w:t>
      </w:r>
      <w:r>
        <w:rPr>
          <w:rFonts w:hint="eastAsia" w:ascii="仿宋_GB2312" w:hAnsi="宋体" w:eastAsia="仿宋_GB2312"/>
          <w:sz w:val="32"/>
          <w:szCs w:val="32"/>
          <w:highlight w:val="none"/>
          <w:lang w:val="en-US" w:eastAsia="zh-CN"/>
        </w:rPr>
        <w:t>39192.96</w:t>
      </w:r>
      <w:r>
        <w:rPr>
          <w:rFonts w:hint="eastAsia" w:ascii="仿宋_GB2312" w:hAnsi="宋体" w:eastAsia="仿宋_GB2312"/>
          <w:sz w:val="32"/>
          <w:szCs w:val="32"/>
          <w:highlight w:val="none"/>
          <w:lang w:eastAsia="zh-CN"/>
        </w:rPr>
        <w:t>元，较上年</w:t>
      </w:r>
      <w:r>
        <w:rPr>
          <w:rFonts w:hint="eastAsia" w:ascii="仿宋_GB2312" w:hAnsi="宋体" w:eastAsia="仿宋_GB2312"/>
          <w:sz w:val="32"/>
          <w:szCs w:val="32"/>
          <w:highlight w:val="none"/>
          <w:lang w:val="en-US" w:eastAsia="zh-CN"/>
        </w:rPr>
        <w:t>增加60.72%。</w:t>
      </w:r>
      <w:r>
        <w:rPr>
          <w:rFonts w:hint="eastAsia" w:ascii="仿宋_GB2312" w:hAnsi="宋体" w:eastAsia="仿宋_GB2312"/>
          <w:sz w:val="32"/>
          <w:szCs w:val="32"/>
          <w:highlight w:val="none"/>
          <w:lang w:eastAsia="zh-CN"/>
        </w:rPr>
        <w:t>其中：</w:t>
      </w:r>
      <w:r>
        <w:rPr>
          <w:rFonts w:hint="eastAsia" w:ascii="仿宋_GB2312" w:hAnsi="宋体" w:eastAsia="仿宋_GB2312"/>
          <w:b/>
          <w:bCs/>
          <w:sz w:val="32"/>
          <w:szCs w:val="32"/>
          <w:highlight w:val="none"/>
          <w:lang w:eastAsia="zh-CN"/>
        </w:rPr>
        <w:t>工会事务</w:t>
      </w:r>
      <w:r>
        <w:rPr>
          <w:rFonts w:hint="eastAsia" w:ascii="仿宋_GB2312" w:hAnsi="宋体" w:eastAsia="仿宋_GB2312"/>
          <w:b/>
          <w:bCs/>
          <w:sz w:val="32"/>
          <w:szCs w:val="32"/>
          <w:highlight w:val="none"/>
          <w:lang w:val="en-US" w:eastAsia="zh-CN"/>
        </w:rPr>
        <w:t>（项）</w:t>
      </w:r>
      <w:r>
        <w:rPr>
          <w:rFonts w:hint="eastAsia" w:ascii="仿宋_GB2312" w:hAnsi="宋体" w:eastAsia="仿宋_GB2312"/>
          <w:sz w:val="32"/>
          <w:szCs w:val="32"/>
          <w:highlight w:val="none"/>
          <w:lang w:eastAsia="zh-CN"/>
        </w:rPr>
        <w:t>支出</w:t>
      </w:r>
      <w:r>
        <w:rPr>
          <w:rFonts w:hint="eastAsia" w:ascii="仿宋_GB2312" w:hAnsi="宋体" w:eastAsia="仿宋_GB2312"/>
          <w:sz w:val="32"/>
          <w:szCs w:val="32"/>
          <w:highlight w:val="none"/>
          <w:lang w:val="en-US" w:eastAsia="zh-CN"/>
        </w:rPr>
        <w:t>39192.96</w:t>
      </w:r>
      <w:r>
        <w:rPr>
          <w:rFonts w:hint="eastAsia" w:ascii="仿宋_GB2312" w:hAnsi="宋体" w:eastAsia="仿宋_GB2312"/>
          <w:sz w:val="32"/>
          <w:szCs w:val="32"/>
          <w:highlight w:val="none"/>
          <w:lang w:eastAsia="zh-CN"/>
        </w:rPr>
        <w:t>元，较上年</w:t>
      </w:r>
      <w:r>
        <w:rPr>
          <w:rFonts w:hint="eastAsia" w:ascii="仿宋_GB2312" w:hAnsi="宋体" w:eastAsia="仿宋_GB2312"/>
          <w:sz w:val="32"/>
          <w:szCs w:val="32"/>
          <w:highlight w:val="none"/>
          <w:lang w:val="en-US" w:eastAsia="zh-CN"/>
        </w:rPr>
        <w:t>增加60.72%，增加原因是</w:t>
      </w:r>
      <w:r>
        <w:rPr>
          <w:rFonts w:hint="eastAsia" w:ascii="仿宋_GB2312" w:hAnsi="宋体" w:eastAsia="仿宋_GB2312"/>
          <w:color w:val="000000" w:themeColor="text1"/>
          <w:sz w:val="32"/>
          <w:szCs w:val="32"/>
          <w:highlight w:val="none"/>
          <w:lang w:eastAsia="zh-CN"/>
          <w14:textFill>
            <w14:solidFill>
              <w14:schemeClr w14:val="tx1"/>
            </w14:solidFill>
          </w14:textFill>
        </w:rPr>
        <w:t>人员正常晋升及调资工会经费增加</w:t>
      </w:r>
      <w:r>
        <w:rPr>
          <w:rFonts w:hint="eastAsia" w:ascii="仿宋_GB2312" w:hAnsi="宋体" w:eastAsia="仿宋_GB2312"/>
          <w:sz w:val="32"/>
          <w:szCs w:val="32"/>
          <w:highlight w:val="none"/>
          <w:lang w:eastAsia="zh-CN"/>
        </w:rPr>
        <w:t>。</w:t>
      </w:r>
    </w:p>
    <w:p>
      <w:pPr>
        <w:spacing w:line="640" w:lineRule="exact"/>
        <w:ind w:firstLine="643" w:firstLineChars="20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黑体" w:eastAsia="仿宋_GB2312"/>
          <w:b/>
          <w:color w:val="000000" w:themeColor="text1"/>
          <w:sz w:val="32"/>
          <w:szCs w:val="32"/>
          <w:highlight w:val="none"/>
          <w14:textFill>
            <w14:solidFill>
              <w14:schemeClr w14:val="tx1"/>
            </w14:solidFill>
          </w14:textFill>
        </w:rPr>
        <w:t>（</w:t>
      </w:r>
      <w:r>
        <w:rPr>
          <w:rFonts w:hint="eastAsia" w:ascii="仿宋_GB2312" w:hAnsi="黑体" w:eastAsia="仿宋_GB2312"/>
          <w:b/>
          <w:color w:val="000000" w:themeColor="text1"/>
          <w:sz w:val="32"/>
          <w:szCs w:val="32"/>
          <w:highlight w:val="none"/>
          <w:lang w:eastAsia="zh-CN"/>
          <w14:textFill>
            <w14:solidFill>
              <w14:schemeClr w14:val="tx1"/>
            </w14:solidFill>
          </w14:textFill>
        </w:rPr>
        <w:t>二</w:t>
      </w:r>
      <w:r>
        <w:rPr>
          <w:rFonts w:hint="eastAsia" w:ascii="仿宋_GB2312" w:hAnsi="黑体" w:eastAsia="仿宋_GB2312"/>
          <w:b/>
          <w:color w:val="000000" w:themeColor="text1"/>
          <w:sz w:val="32"/>
          <w:szCs w:val="32"/>
          <w:highlight w:val="none"/>
          <w14:textFill>
            <w14:solidFill>
              <w14:schemeClr w14:val="tx1"/>
            </w14:solidFill>
          </w14:textFill>
        </w:rPr>
        <w:t>）社会保障和就业支出</w:t>
      </w:r>
      <w:r>
        <w:rPr>
          <w:rFonts w:hint="eastAsia" w:ascii="仿宋_GB2312" w:hAnsi="黑体" w:eastAsia="仿宋_GB2312"/>
          <w:b/>
          <w:bCs/>
          <w:color w:val="000000" w:themeColor="text1"/>
          <w:sz w:val="32"/>
          <w:szCs w:val="32"/>
          <w:highlight w:val="none"/>
          <w:lang w:val="en-US" w:eastAsia="zh-CN"/>
          <w14:textFill>
            <w14:solidFill>
              <w14:schemeClr w14:val="tx1"/>
            </w14:solidFill>
          </w14:textFill>
        </w:rPr>
        <w:t>（类）</w:t>
      </w:r>
      <w:r>
        <w:rPr>
          <w:rFonts w:hint="eastAsia" w:ascii="仿宋_GB2312" w:hAnsi="黑体" w:eastAsia="仿宋_GB2312"/>
          <w:b/>
          <w:bCs/>
          <w:sz w:val="32"/>
          <w:szCs w:val="32"/>
          <w:highlight w:val="none"/>
          <w:lang w:val="en-US" w:eastAsia="zh-CN"/>
        </w:rPr>
        <w:t>行政事业单位养老支出</w:t>
      </w:r>
      <w:r>
        <w:rPr>
          <w:rFonts w:hint="eastAsia" w:ascii="仿宋_GB2312" w:hAnsi="宋体" w:eastAsia="仿宋_GB2312"/>
          <w:b/>
          <w:bCs/>
          <w:sz w:val="32"/>
          <w:szCs w:val="32"/>
          <w:highlight w:val="none"/>
          <w:lang w:eastAsia="zh-CN"/>
        </w:rPr>
        <w:t>（款）</w:t>
      </w:r>
      <w:r>
        <w:rPr>
          <w:rFonts w:hint="eastAsia" w:ascii="仿宋_GB2312" w:hAnsi="黑体" w:eastAsia="仿宋_GB2312"/>
          <w:color w:val="000000" w:themeColor="text1"/>
          <w:sz w:val="32"/>
          <w:szCs w:val="32"/>
          <w:highlight w:val="none"/>
          <w14:textFill>
            <w14:solidFill>
              <w14:schemeClr w14:val="tx1"/>
            </w14:solidFill>
          </w14:textFill>
        </w:rPr>
        <w:t>2022年预算支出</w:t>
      </w:r>
      <w:r>
        <w:rPr>
          <w:rFonts w:hint="eastAsia" w:ascii="仿宋_GB2312" w:hAnsi="黑体" w:eastAsia="仿宋_GB2312"/>
          <w:sz w:val="32"/>
          <w:szCs w:val="32"/>
          <w:highlight w:val="none"/>
          <w:lang w:val="en-US" w:eastAsia="zh-CN"/>
        </w:rPr>
        <w:t>313543.68元，</w:t>
      </w:r>
      <w:r>
        <w:rPr>
          <w:rFonts w:hint="eastAsia" w:ascii="仿宋_GB2312" w:hAnsi="宋体" w:eastAsia="仿宋_GB2312"/>
          <w:color w:val="000000" w:themeColor="text1"/>
          <w:sz w:val="32"/>
          <w:szCs w:val="32"/>
          <w:highlight w:val="none"/>
          <w14:textFill>
            <w14:solidFill>
              <w14:schemeClr w14:val="tx1"/>
            </w14:solidFill>
          </w14:textFill>
        </w:rPr>
        <w:t>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3.1%。</w:t>
      </w:r>
      <w:r>
        <w:rPr>
          <w:rFonts w:hint="eastAsia" w:ascii="仿宋_GB2312" w:hAnsi="黑体" w:eastAsia="仿宋_GB2312"/>
          <w:sz w:val="32"/>
          <w:szCs w:val="32"/>
          <w:highlight w:val="none"/>
          <w:lang w:val="en-US" w:eastAsia="zh-CN"/>
        </w:rPr>
        <w:t>其中：</w:t>
      </w:r>
      <w:r>
        <w:rPr>
          <w:rFonts w:hint="eastAsia" w:ascii="仿宋_GB2312" w:hAnsi="黑体" w:eastAsia="仿宋_GB2312"/>
          <w:b w:val="0"/>
          <w:bCs w:val="0"/>
          <w:sz w:val="32"/>
          <w:szCs w:val="32"/>
          <w:highlight w:val="none"/>
          <w:lang w:val="en-US" w:eastAsia="zh-CN"/>
        </w:rPr>
        <w:t>机关事业单位基本养老保险缴费支出</w:t>
      </w:r>
      <w:r>
        <w:rPr>
          <w:rFonts w:hint="eastAsia" w:ascii="仿宋_GB2312" w:hAnsi="黑体" w:eastAsia="仿宋_GB2312"/>
          <w:b w:val="0"/>
          <w:bCs w:val="0"/>
          <w:sz w:val="32"/>
          <w:szCs w:val="32"/>
          <w:highlight w:val="none"/>
          <w:lang w:eastAsia="zh-CN"/>
        </w:rPr>
        <w:t>（项）</w:t>
      </w:r>
      <w:r>
        <w:rPr>
          <w:rFonts w:hint="eastAsia" w:ascii="仿宋_GB2312" w:hAnsi="黑体" w:eastAsia="仿宋_GB2312"/>
          <w:color w:val="000000" w:themeColor="text1"/>
          <w:sz w:val="32"/>
          <w:szCs w:val="32"/>
          <w:highlight w:val="none"/>
          <w14:textFill>
            <w14:solidFill>
              <w14:schemeClr w14:val="tx1"/>
            </w14:solidFill>
          </w14:textFill>
        </w:rPr>
        <w:t>2022年预算支出</w:t>
      </w:r>
      <w:r>
        <w:rPr>
          <w:rFonts w:hint="eastAsia" w:ascii="仿宋_GB2312" w:hAnsi="黑体" w:eastAsia="仿宋_GB2312"/>
          <w:sz w:val="32"/>
          <w:szCs w:val="32"/>
          <w:highlight w:val="none"/>
          <w:lang w:val="en-US" w:eastAsia="zh-CN"/>
        </w:rPr>
        <w:t>313543.68元，</w:t>
      </w:r>
      <w:r>
        <w:rPr>
          <w:rFonts w:hint="eastAsia" w:ascii="仿宋_GB2312" w:hAnsi="黑体" w:eastAsia="仿宋_GB2312"/>
          <w:sz w:val="32"/>
          <w:szCs w:val="32"/>
          <w:highlight w:val="none"/>
          <w:lang w:eastAsia="zh-CN"/>
        </w:rPr>
        <w:t>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4.4</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主要原因是：</w:t>
      </w:r>
      <w:r>
        <w:rPr>
          <w:rFonts w:hint="eastAsia" w:ascii="仿宋_GB2312" w:hAnsi="宋体" w:eastAsia="仿宋_GB2312"/>
          <w:color w:val="000000" w:themeColor="text1"/>
          <w:sz w:val="32"/>
          <w:szCs w:val="32"/>
          <w:highlight w:val="none"/>
          <w:lang w:eastAsia="zh-CN"/>
          <w14:textFill>
            <w14:solidFill>
              <w14:schemeClr w14:val="tx1"/>
            </w14:solidFill>
          </w14:textFill>
        </w:rPr>
        <w:t>人员正常晋升及调资缴费基数增加；</w:t>
      </w:r>
      <w:r>
        <w:rPr>
          <w:rFonts w:hint="eastAsia" w:ascii="仿宋_GB2312" w:hAnsi="黑体" w:eastAsia="仿宋_GB2312"/>
          <w:b/>
          <w:bCs/>
          <w:sz w:val="32"/>
          <w:szCs w:val="32"/>
          <w:highlight w:val="none"/>
          <w:lang w:val="en-US" w:eastAsia="zh-CN"/>
        </w:rPr>
        <w:t>财政对其他社会保险基金的补助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color w:val="000000" w:themeColor="text1"/>
          <w:sz w:val="32"/>
          <w:szCs w:val="32"/>
          <w:highlight w:val="none"/>
          <w14:textFill>
            <w14:solidFill>
              <w14:schemeClr w14:val="tx1"/>
            </w14:solidFill>
          </w14:textFill>
        </w:rPr>
        <w:t>2022年预算支出</w:t>
      </w:r>
      <w:r>
        <w:rPr>
          <w:rFonts w:hint="eastAsia" w:ascii="仿宋_GB2312" w:hAnsi="黑体" w:eastAsia="仿宋_GB2312"/>
          <w:sz w:val="32"/>
          <w:szCs w:val="32"/>
          <w:highlight w:val="none"/>
          <w:lang w:val="en-US" w:eastAsia="zh-CN"/>
        </w:rPr>
        <w:t>3919.30元，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100%。其中：</w:t>
      </w:r>
      <w:r>
        <w:rPr>
          <w:rFonts w:hint="eastAsia" w:ascii="仿宋_GB2312" w:hAnsi="黑体" w:eastAsia="仿宋_GB2312"/>
          <w:b w:val="0"/>
          <w:bCs w:val="0"/>
          <w:sz w:val="32"/>
          <w:szCs w:val="32"/>
          <w:highlight w:val="none"/>
          <w:lang w:val="en-US" w:eastAsia="zh-CN"/>
        </w:rPr>
        <w:t>财政对工伤保险基金的补助</w:t>
      </w:r>
      <w:r>
        <w:rPr>
          <w:rFonts w:hint="eastAsia" w:ascii="仿宋_GB2312" w:hAnsi="黑体" w:eastAsia="仿宋_GB2312"/>
          <w:b w:val="0"/>
          <w:bCs w:val="0"/>
          <w:sz w:val="32"/>
          <w:szCs w:val="32"/>
          <w:highlight w:val="none"/>
          <w:lang w:val="en-US" w:eastAsia="zh-CN"/>
        </w:rPr>
        <w:tab/>
      </w:r>
      <w:r>
        <w:rPr>
          <w:rFonts w:hint="eastAsia" w:ascii="仿宋_GB2312" w:hAnsi="黑体" w:eastAsia="仿宋_GB2312"/>
          <w:b w:val="0"/>
          <w:bCs w:val="0"/>
          <w:sz w:val="32"/>
          <w:szCs w:val="32"/>
          <w:highlight w:val="none"/>
          <w:lang w:eastAsia="zh-CN"/>
        </w:rPr>
        <w:t>（项）</w:t>
      </w:r>
      <w:r>
        <w:rPr>
          <w:rFonts w:hint="eastAsia" w:ascii="仿宋_GB2312" w:hAnsi="黑体" w:eastAsia="仿宋_GB2312"/>
          <w:color w:val="000000" w:themeColor="text1"/>
          <w:sz w:val="32"/>
          <w:szCs w:val="32"/>
          <w:highlight w:val="none"/>
          <w14:textFill>
            <w14:solidFill>
              <w14:schemeClr w14:val="tx1"/>
            </w14:solidFill>
          </w14:textFill>
        </w:rPr>
        <w:t>2022年预算支出</w:t>
      </w:r>
      <w:r>
        <w:rPr>
          <w:rFonts w:hint="eastAsia" w:ascii="仿宋_GB2312" w:hAnsi="黑体" w:eastAsia="仿宋_GB2312"/>
          <w:sz w:val="32"/>
          <w:szCs w:val="32"/>
          <w:highlight w:val="none"/>
          <w:lang w:val="en-US" w:eastAsia="zh-CN"/>
        </w:rPr>
        <w:t>3919.30元，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100%，上年未列入预算。</w:t>
      </w:r>
    </w:p>
    <w:p>
      <w:p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bCs/>
          <w:color w:val="000000" w:themeColor="text1"/>
          <w:sz w:val="32"/>
          <w:szCs w:val="32"/>
          <w:highlight w:val="none"/>
          <w:lang w:eastAsia="zh-CN"/>
          <w14:textFill>
            <w14:solidFill>
              <w14:schemeClr w14:val="tx1"/>
            </w14:solidFill>
          </w14:textFill>
        </w:rPr>
        <w:t>（</w:t>
      </w:r>
      <w:r>
        <w:rPr>
          <w:rFonts w:hint="eastAsia" w:ascii="仿宋_GB2312" w:hAnsi="黑体" w:eastAsia="仿宋_GB2312"/>
          <w:b/>
          <w:bCs/>
          <w:color w:val="000000" w:themeColor="text1"/>
          <w:sz w:val="32"/>
          <w:szCs w:val="32"/>
          <w:highlight w:val="none"/>
          <w:lang w:eastAsia="zh-CN"/>
          <w14:textFill>
            <w14:solidFill>
              <w14:schemeClr w14:val="tx1"/>
            </w14:solidFill>
          </w14:textFill>
        </w:rPr>
        <w:t>三）</w:t>
      </w:r>
      <w:r>
        <w:rPr>
          <w:rFonts w:hint="eastAsia" w:ascii="仿宋_GB2312" w:hAnsi="黑体" w:eastAsia="仿宋_GB2312"/>
          <w:b/>
          <w:bCs/>
          <w:color w:val="000000" w:themeColor="text1"/>
          <w:sz w:val="32"/>
          <w:szCs w:val="32"/>
          <w:highlight w:val="none"/>
          <w14:textFill>
            <w14:solidFill>
              <w14:schemeClr w14:val="tx1"/>
            </w14:solidFill>
          </w14:textFill>
        </w:rPr>
        <w:t>卫生健康支出</w:t>
      </w:r>
      <w:r>
        <w:rPr>
          <w:rFonts w:hint="eastAsia" w:ascii="仿宋_GB2312" w:hAnsi="黑体" w:eastAsia="仿宋_GB2312"/>
          <w:b/>
          <w:bCs/>
          <w:color w:val="000000" w:themeColor="text1"/>
          <w:sz w:val="32"/>
          <w:szCs w:val="32"/>
          <w:highlight w:val="none"/>
          <w:lang w:val="en-US" w:eastAsia="zh-CN"/>
          <w14:textFill>
            <w14:solidFill>
              <w14:schemeClr w14:val="tx1"/>
            </w14:solidFill>
          </w14:textFill>
        </w:rPr>
        <w:t>（类）</w:t>
      </w:r>
      <w:r>
        <w:rPr>
          <w:rFonts w:hint="eastAsia" w:ascii="仿宋_GB2312" w:hAnsi="黑体" w:eastAsia="仿宋_GB2312"/>
          <w:b/>
          <w:bCs/>
          <w:sz w:val="32"/>
          <w:szCs w:val="32"/>
          <w:highlight w:val="none"/>
          <w:lang w:eastAsia="zh-CN"/>
        </w:rPr>
        <w:t>财政对基本医疗保险基金的补助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color w:val="000000" w:themeColor="text1"/>
          <w:sz w:val="32"/>
          <w:szCs w:val="32"/>
          <w:highlight w:val="none"/>
          <w14:textFill>
            <w14:solidFill>
              <w14:schemeClr w14:val="tx1"/>
            </w14:solidFill>
          </w14:textFill>
        </w:rPr>
        <w:t>2022年预算支出</w:t>
      </w:r>
      <w:r>
        <w:rPr>
          <w:rFonts w:hint="eastAsia" w:ascii="仿宋_GB2312" w:hAnsi="黑体" w:eastAsia="仿宋_GB2312"/>
          <w:sz w:val="32"/>
          <w:szCs w:val="32"/>
          <w:highlight w:val="none"/>
          <w:lang w:eastAsia="zh-CN"/>
        </w:rPr>
        <w:t>130185.12元，其中：</w:t>
      </w:r>
      <w:r>
        <w:rPr>
          <w:rFonts w:hint="eastAsia" w:ascii="仿宋_GB2312" w:hAnsi="黑体" w:eastAsia="仿宋_GB2312"/>
          <w:b w:val="0"/>
          <w:bCs w:val="0"/>
          <w:sz w:val="32"/>
          <w:szCs w:val="32"/>
          <w:highlight w:val="none"/>
          <w:lang w:eastAsia="zh-CN"/>
        </w:rPr>
        <w:t>财政对职工基本医疗保险基金的补助（项）</w:t>
      </w:r>
      <w:r>
        <w:rPr>
          <w:rFonts w:hint="eastAsia" w:ascii="仿宋_GB2312" w:hAnsi="黑体" w:eastAsia="仿宋_GB2312"/>
          <w:sz w:val="32"/>
          <w:szCs w:val="32"/>
          <w:highlight w:val="none"/>
          <w:lang w:eastAsia="zh-CN"/>
        </w:rPr>
        <w:t>支出130185.12元，</w:t>
      </w:r>
      <w:r>
        <w:rPr>
          <w:rFonts w:hint="eastAsia" w:ascii="仿宋_GB2312" w:hAnsi="黑体" w:eastAsia="仿宋_GB2312"/>
          <w:b w:val="0"/>
          <w:bCs/>
          <w:sz w:val="32"/>
          <w:szCs w:val="32"/>
          <w:highlight w:val="none"/>
          <w:lang w:eastAsia="zh-CN"/>
        </w:rPr>
        <w:t>较上年</w:t>
      </w:r>
      <w:r>
        <w:rPr>
          <w:rFonts w:hint="eastAsia" w:ascii="仿宋" w:hAnsi="仿宋" w:eastAsia="仿宋" w:cs="仿宋"/>
          <w:b w:val="0"/>
          <w:bCs/>
          <w:color w:val="000000"/>
          <w:sz w:val="32"/>
          <w:szCs w:val="32"/>
          <w:lang w:val="en-US" w:eastAsia="zh-CN"/>
        </w:rPr>
        <w:t>增加100%，增加</w:t>
      </w:r>
      <w:r>
        <w:rPr>
          <w:rFonts w:hint="eastAsia" w:ascii="仿宋_GB2312" w:hAnsi="黑体" w:eastAsia="仿宋_GB2312"/>
          <w:sz w:val="32"/>
          <w:szCs w:val="32"/>
          <w:highlight w:val="none"/>
          <w:lang w:eastAsia="zh-CN"/>
        </w:rPr>
        <w:t>原因是</w:t>
      </w:r>
      <w:r>
        <w:rPr>
          <w:rFonts w:hint="eastAsia" w:ascii="仿宋_GB2312" w:hAnsi="黑体" w:eastAsia="仿宋_GB2312"/>
          <w:sz w:val="32"/>
          <w:szCs w:val="32"/>
          <w:highlight w:val="none"/>
          <w:lang w:val="en-US" w:eastAsia="zh-CN"/>
        </w:rPr>
        <w:t>2021年未单独</w:t>
      </w:r>
      <w:r>
        <w:rPr>
          <w:rFonts w:hint="eastAsia" w:ascii="仿宋_GB2312" w:hAnsi="黑体" w:eastAsia="仿宋_GB2312"/>
          <w:sz w:val="32"/>
          <w:szCs w:val="32"/>
          <w:highlight w:val="none"/>
          <w:lang w:eastAsia="zh-CN"/>
        </w:rPr>
        <w:t>列入预算。</w:t>
      </w:r>
    </w:p>
    <w:p>
      <w:pPr>
        <w:spacing w:line="640" w:lineRule="exact"/>
        <w:ind w:firstLine="643" w:firstLineChars="200"/>
        <w:rPr>
          <w:rFonts w:hint="default"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b/>
          <w:bCs/>
          <w:color w:val="000000" w:themeColor="text1"/>
          <w:sz w:val="32"/>
          <w:szCs w:val="32"/>
          <w:highlight w:val="none"/>
          <w:lang w:val="en-US" w:eastAsia="zh-CN"/>
          <w14:textFill>
            <w14:solidFill>
              <w14:schemeClr w14:val="tx1"/>
            </w14:solidFill>
          </w14:textFill>
        </w:rPr>
        <w:t>（四）住房保障支出（类）</w:t>
      </w:r>
      <w:r>
        <w:rPr>
          <w:rFonts w:hint="eastAsia" w:ascii="仿宋_GB2312" w:hAnsi="黑体" w:eastAsia="仿宋_GB2312"/>
          <w:b/>
          <w:bCs/>
          <w:sz w:val="32"/>
          <w:szCs w:val="32"/>
          <w:highlight w:val="none"/>
          <w:lang w:eastAsia="zh-CN"/>
        </w:rPr>
        <w:t>住房改革支出（款）</w:t>
      </w:r>
      <w:r>
        <w:rPr>
          <w:rFonts w:hint="eastAsia" w:ascii="仿宋_GB2312" w:hAnsi="黑体" w:eastAsia="仿宋_GB2312"/>
          <w:color w:val="000000" w:themeColor="text1"/>
          <w:sz w:val="32"/>
          <w:szCs w:val="32"/>
          <w:highlight w:val="none"/>
          <w14:textFill>
            <w14:solidFill>
              <w14:schemeClr w14:val="tx1"/>
            </w14:solidFill>
          </w14:textFill>
        </w:rPr>
        <w:t>2022年预算支出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235157.76元，</w:t>
      </w:r>
      <w:r>
        <w:rPr>
          <w:rFonts w:hint="eastAsia" w:ascii="仿宋_GB2312" w:hAnsi="宋体" w:eastAsia="仿宋_GB2312"/>
          <w:color w:val="000000" w:themeColor="text1"/>
          <w:sz w:val="32"/>
          <w:szCs w:val="32"/>
          <w:highlight w:val="none"/>
          <w14:textFill>
            <w14:solidFill>
              <w14:schemeClr w14:val="tx1"/>
            </w14:solidFill>
          </w14:textFill>
        </w:rPr>
        <w:t>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100</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黑体" w:eastAsia="仿宋_GB2312"/>
          <w:sz w:val="32"/>
          <w:szCs w:val="32"/>
          <w:highlight w:val="none"/>
          <w:lang w:eastAsia="zh-CN"/>
        </w:rPr>
        <w:t>，主要原因是住房公积金列入单位预算</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黑体" w:eastAsia="仿宋_GB2312"/>
          <w:sz w:val="32"/>
          <w:szCs w:val="32"/>
          <w:highlight w:val="none"/>
          <w:lang w:eastAsia="zh-CN"/>
        </w:rPr>
        <w:t>其中：</w:t>
      </w:r>
      <w:r>
        <w:rPr>
          <w:rFonts w:hint="eastAsia" w:ascii="仿宋_GB2312" w:hAnsi="黑体" w:eastAsia="仿宋_GB2312"/>
          <w:b/>
          <w:bCs/>
          <w:sz w:val="32"/>
          <w:szCs w:val="32"/>
          <w:highlight w:val="none"/>
          <w:lang w:eastAsia="zh-CN"/>
        </w:rPr>
        <w:t>住房公积金支出（项）</w:t>
      </w:r>
      <w:r>
        <w:rPr>
          <w:rFonts w:hint="eastAsia" w:ascii="仿宋_GB2312" w:hAnsi="黑体" w:eastAsia="仿宋_GB2312"/>
          <w:color w:val="000000" w:themeColor="text1"/>
          <w:sz w:val="32"/>
          <w:szCs w:val="32"/>
          <w:highlight w:val="none"/>
          <w14:textFill>
            <w14:solidFill>
              <w14:schemeClr w14:val="tx1"/>
            </w14:solidFill>
          </w14:textFill>
        </w:rPr>
        <w:t>2022年预算支出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235157.76</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原因是住房公积金</w:t>
      </w:r>
      <w:r>
        <w:rPr>
          <w:rFonts w:hint="eastAsia" w:ascii="仿宋_GB2312" w:hAnsi="黑体" w:eastAsia="仿宋_GB2312"/>
          <w:sz w:val="32"/>
          <w:szCs w:val="32"/>
          <w:highlight w:val="none"/>
          <w:lang w:val="en-US" w:eastAsia="zh-CN"/>
        </w:rPr>
        <w:t>未单独列入</w:t>
      </w:r>
      <w:r>
        <w:rPr>
          <w:rFonts w:hint="eastAsia" w:ascii="仿宋_GB2312" w:hAnsi="黑体" w:eastAsia="仿宋_GB2312"/>
          <w:sz w:val="32"/>
          <w:szCs w:val="32"/>
          <w:highlight w:val="none"/>
          <w:lang w:eastAsia="zh-CN"/>
        </w:rPr>
        <w:t>单位预算。</w:t>
      </w:r>
    </w:p>
    <w:p>
      <w:pPr>
        <w:spacing w:line="64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三、部门一般公共预算基本支出情况说明</w:t>
      </w:r>
    </w:p>
    <w:p>
      <w:pPr>
        <w:ind w:firstLine="640" w:firstLineChars="200"/>
        <w:rPr>
          <w:color w:val="000000" w:themeColor="text1"/>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2022年一般公共预算基本支出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3594260.82</w:t>
      </w:r>
      <w:r>
        <w:rPr>
          <w:rFonts w:hint="eastAsia" w:ascii="仿宋_GB2312" w:hAnsi="黑体" w:eastAsia="仿宋_GB2312"/>
          <w:color w:val="000000" w:themeColor="text1"/>
          <w:sz w:val="32"/>
          <w:szCs w:val="32"/>
          <w:highlight w:val="none"/>
          <w14:textFill>
            <w14:solidFill>
              <w14:schemeClr w14:val="tx1"/>
            </w14:solidFill>
          </w14:textFill>
        </w:rPr>
        <w:t>元，其中：人员经费</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3334260.82</w:t>
      </w:r>
      <w:r>
        <w:rPr>
          <w:rFonts w:hint="eastAsia" w:ascii="仿宋_GB2312" w:hAnsi="黑体" w:eastAsia="仿宋_GB2312"/>
          <w:color w:val="000000" w:themeColor="text1"/>
          <w:sz w:val="32"/>
          <w:szCs w:val="32"/>
          <w:highlight w:val="none"/>
          <w14:textFill>
            <w14:solidFill>
              <w14:schemeClr w14:val="tx1"/>
            </w14:solidFill>
          </w14:textFill>
        </w:rPr>
        <w:t>元，单位运转经费</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80000.00</w:t>
      </w:r>
      <w:r>
        <w:rPr>
          <w:rFonts w:hint="eastAsia" w:ascii="仿宋_GB2312" w:hAnsi="黑体" w:eastAsia="仿宋_GB2312"/>
          <w:color w:val="000000" w:themeColor="text1"/>
          <w:sz w:val="32"/>
          <w:szCs w:val="32"/>
          <w:highlight w:val="none"/>
          <w14:textFill>
            <w14:solidFill>
              <w14:schemeClr w14:val="tx1"/>
            </w14:solidFill>
          </w14:textFill>
        </w:rPr>
        <w:t>元，比上年预算数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19.7</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，主要原因是：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人员正常晋升调资等人员经费开支增加</w:t>
      </w:r>
      <w:r>
        <w:rPr>
          <w:rFonts w:hint="eastAsia" w:ascii="仿宋_GB2312" w:hAnsi="黑体" w:eastAsia="仿宋_GB2312"/>
          <w:color w:val="000000" w:themeColor="text1"/>
          <w:sz w:val="32"/>
          <w:szCs w:val="32"/>
          <w:highlight w:val="none"/>
          <w14:textFill>
            <w14:solidFill>
              <w14:schemeClr w14:val="tx1"/>
            </w14:solidFill>
          </w14:textFill>
        </w:rPr>
        <w:t>。</w:t>
      </w:r>
    </w:p>
    <w:p>
      <w:pPr>
        <w:spacing w:line="64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四、部门“三公”经费情况说明</w:t>
      </w:r>
    </w:p>
    <w:p>
      <w:pPr>
        <w:spacing w:line="640" w:lineRule="exact"/>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2022年“三公”经费预</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元，比上年预算数减少</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000000" w:themeColor="text1"/>
          <w:sz w:val="32"/>
          <w:szCs w:val="32"/>
          <w:highlight w:val="none"/>
          <w14:textFill>
            <w14:solidFill>
              <w14:schemeClr w14:val="tx1"/>
            </w14:solidFill>
          </w14:textFill>
        </w:rPr>
        <w:t>。</w:t>
      </w:r>
    </w:p>
    <w:p>
      <w:pPr>
        <w:spacing w:line="640" w:lineRule="exact"/>
        <w:ind w:firstLine="643"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楷体_GB2312" w:hAnsi="黑体" w:eastAsia="楷体_GB2312"/>
          <w:b/>
          <w:color w:val="000000" w:themeColor="text1"/>
          <w:sz w:val="32"/>
          <w:szCs w:val="32"/>
          <w:highlight w:val="none"/>
          <w14:textFill>
            <w14:solidFill>
              <w14:schemeClr w14:val="tx1"/>
            </w14:solidFill>
          </w14:textFill>
        </w:rPr>
        <w:t>（一）因公出国（境）费</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元，比上年预算数减少</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000000" w:themeColor="text1"/>
          <w:sz w:val="32"/>
          <w:szCs w:val="32"/>
          <w:highlight w:val="none"/>
          <w14:textFill>
            <w14:solidFill>
              <w14:schemeClr w14:val="tx1"/>
            </w14:solidFill>
          </w14:textFill>
        </w:rPr>
        <w:t>。</w:t>
      </w:r>
    </w:p>
    <w:p>
      <w:pPr>
        <w:spacing w:line="640" w:lineRule="exact"/>
        <w:ind w:firstLine="643"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楷体_GB2312" w:hAnsi="黑体" w:eastAsia="楷体_GB2312"/>
          <w:b/>
          <w:color w:val="000000" w:themeColor="text1"/>
          <w:sz w:val="32"/>
          <w:szCs w:val="32"/>
          <w:highlight w:val="none"/>
          <w14:textFill>
            <w14:solidFill>
              <w14:schemeClr w14:val="tx1"/>
            </w14:solidFill>
          </w14:textFill>
        </w:rPr>
        <w:t>（二）公务接待费</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000000" w:themeColor="text1"/>
          <w:sz w:val="32"/>
          <w:szCs w:val="32"/>
          <w:highlight w:val="none"/>
          <w14:textFill>
            <w14:solidFill>
              <w14:schemeClr w14:val="tx1"/>
            </w14:solidFill>
          </w14:textFill>
        </w:rPr>
        <w:t>。</w:t>
      </w:r>
    </w:p>
    <w:p>
      <w:pPr>
        <w:spacing w:line="640" w:lineRule="exact"/>
        <w:ind w:firstLine="643"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楷体_GB2312" w:hAnsi="黑体" w:eastAsia="楷体_GB2312"/>
          <w:b/>
          <w:color w:val="000000" w:themeColor="text1"/>
          <w:sz w:val="32"/>
          <w:szCs w:val="32"/>
          <w:highlight w:val="none"/>
          <w14:textFill>
            <w14:solidFill>
              <w14:schemeClr w14:val="tx1"/>
            </w14:solidFill>
          </w14:textFill>
        </w:rPr>
        <w:t>（三）公务用车购置和运行</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w:t>
      </w:r>
      <w:r>
        <w:rPr>
          <w:rFonts w:hint="eastAsia" w:ascii="仿宋_GB2312" w:hAnsi="黑体" w:eastAsia="仿宋_GB2312"/>
          <w:color w:val="000000" w:themeColor="text1"/>
          <w:sz w:val="32"/>
          <w:szCs w:val="32"/>
          <w:highlight w:val="none"/>
          <w:lang w:eastAsia="zh-CN"/>
          <w14:textFill>
            <w14:solidFill>
              <w14:schemeClr w14:val="tx1"/>
            </w14:solidFill>
          </w14:textFill>
        </w:rPr>
        <w:t>较上年无变化</w:t>
      </w:r>
      <w:r>
        <w:rPr>
          <w:rFonts w:hint="eastAsia" w:ascii="仿宋_GB2312" w:hAnsi="黑体" w:eastAsia="仿宋_GB2312"/>
          <w:color w:val="000000" w:themeColor="text1"/>
          <w:sz w:val="32"/>
          <w:szCs w:val="32"/>
          <w:highlight w:val="none"/>
          <w14:textFill>
            <w14:solidFill>
              <w14:schemeClr w14:val="tx1"/>
            </w14:solidFill>
          </w14:textFill>
        </w:rPr>
        <w:t>，其中：公务用车购置费</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000000" w:themeColor="text1"/>
          <w:sz w:val="32"/>
          <w:szCs w:val="32"/>
          <w:highlight w:val="none"/>
          <w14:textFill>
            <w14:solidFill>
              <w14:schemeClr w14:val="tx1"/>
            </w14:solidFill>
          </w14:textFill>
        </w:rPr>
        <w:t>；公务用车运行费</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000000" w:themeColor="text1"/>
          <w:sz w:val="32"/>
          <w:szCs w:val="32"/>
          <w:highlight w:val="none"/>
          <w14:textFill>
            <w14:solidFill>
              <w14:schemeClr w14:val="tx1"/>
            </w14:solidFill>
          </w14:textFill>
        </w:rPr>
        <w:t>。</w:t>
      </w:r>
    </w:p>
    <w:p>
      <w:pPr>
        <w:spacing w:line="640" w:lineRule="exact"/>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 xml:space="preserve"> </w:t>
      </w:r>
      <w:r>
        <w:rPr>
          <w:rFonts w:hint="eastAsia" w:ascii="楷体_GB2312" w:hAnsi="黑体" w:eastAsia="楷体_GB2312"/>
          <w:b/>
          <w:color w:val="000000" w:themeColor="text1"/>
          <w:sz w:val="32"/>
          <w:szCs w:val="32"/>
          <w:highlight w:val="none"/>
          <w14:textFill>
            <w14:solidFill>
              <w14:schemeClr w14:val="tx1"/>
            </w14:solidFill>
          </w14:textFill>
        </w:rPr>
        <w:t>(四）会议费</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000000" w:themeColor="text1"/>
          <w:sz w:val="32"/>
          <w:szCs w:val="32"/>
          <w:highlight w:val="none"/>
          <w14:textFill>
            <w14:solidFill>
              <w14:schemeClr w14:val="tx1"/>
            </w14:solidFill>
          </w14:textFill>
        </w:rPr>
        <w:t>。</w:t>
      </w:r>
    </w:p>
    <w:p>
      <w:pPr>
        <w:spacing w:line="640" w:lineRule="exact"/>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 xml:space="preserve"> </w:t>
      </w:r>
      <w:r>
        <w:rPr>
          <w:rFonts w:hint="eastAsia" w:ascii="楷体_GB2312" w:hAnsi="黑体" w:eastAsia="楷体_GB2312"/>
          <w:b/>
          <w:color w:val="000000" w:themeColor="text1"/>
          <w:sz w:val="32"/>
          <w:szCs w:val="32"/>
          <w:highlight w:val="none"/>
          <w14:textFill>
            <w14:solidFill>
              <w14:schemeClr w14:val="tx1"/>
            </w14:solidFill>
          </w14:textFill>
        </w:rPr>
        <w:t>(五) 培训费</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000000" w:themeColor="text1"/>
          <w:sz w:val="32"/>
          <w:szCs w:val="32"/>
          <w:highlight w:val="none"/>
          <w14:textFill>
            <w14:solidFill>
              <w14:schemeClr w14:val="tx1"/>
            </w14:solidFill>
          </w14:textFill>
        </w:rPr>
        <w:t>。</w:t>
      </w:r>
    </w:p>
    <w:p>
      <w:pPr>
        <w:spacing w:line="64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五、部门机关运行经费及政府采购预算情况说明</w:t>
      </w:r>
    </w:p>
    <w:p>
      <w:pPr>
        <w:spacing w:line="640" w:lineRule="exact"/>
        <w:ind w:firstLine="640" w:firstLineChars="200"/>
        <w:rPr>
          <w:rFonts w:ascii="仿宋_GB2312" w:hAnsi="黑体" w:eastAsia="仿宋_GB2312"/>
          <w:b/>
          <w:color w:val="000000" w:themeColor="text1"/>
          <w:sz w:val="44"/>
          <w:szCs w:val="44"/>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2022年机关运行经费预算</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80000</w:t>
      </w:r>
      <w:r>
        <w:rPr>
          <w:rFonts w:hint="eastAsia" w:ascii="仿宋_GB2312" w:hAnsi="黑体" w:eastAsia="仿宋_GB2312"/>
          <w:color w:val="000000" w:themeColor="text1"/>
          <w:sz w:val="32"/>
          <w:szCs w:val="32"/>
          <w:highlight w:val="none"/>
          <w14:textFill>
            <w14:solidFill>
              <w14:schemeClr w14:val="tx1"/>
            </w14:solidFill>
          </w14:textFill>
        </w:rPr>
        <w:t>元，比上年预算数</w:t>
      </w:r>
      <w:r>
        <w:rPr>
          <w:rFonts w:hint="eastAsia" w:ascii="仿宋_GB2312" w:hAnsi="黑体" w:eastAsia="仿宋_GB2312"/>
          <w:color w:val="000000" w:themeColor="text1"/>
          <w:sz w:val="32"/>
          <w:szCs w:val="32"/>
          <w:highlight w:val="none"/>
          <w:lang w:eastAsia="zh-CN"/>
          <w14:textFill>
            <w14:solidFill>
              <w14:schemeClr w14:val="tx1"/>
            </w14:solidFill>
          </w14:textFill>
        </w:rPr>
        <w:t>减少</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170000</w:t>
      </w:r>
      <w:r>
        <w:rPr>
          <w:rFonts w:hint="eastAsia" w:ascii="仿宋_GB2312" w:hAnsi="黑体" w:eastAsia="仿宋_GB2312"/>
          <w:color w:val="000000" w:themeColor="text1"/>
          <w:sz w:val="32"/>
          <w:szCs w:val="32"/>
          <w:highlight w:val="none"/>
          <w14:textFill>
            <w14:solidFill>
              <w14:schemeClr w14:val="tx1"/>
            </w14:solidFill>
          </w14:textFill>
        </w:rPr>
        <w:t>元</w:t>
      </w:r>
      <w:r>
        <w:rPr>
          <w:rFonts w:hint="eastAsia" w:ascii="仿宋_GB2312" w:hAnsi="黑体" w:eastAsia="仿宋_GB2312"/>
          <w:color w:val="000000" w:themeColor="text1"/>
          <w:sz w:val="32"/>
          <w:szCs w:val="32"/>
          <w:highlight w:val="none"/>
          <w:lang w:eastAsia="zh-CN"/>
          <w14:textFill>
            <w14:solidFill>
              <w14:schemeClr w14:val="tx1"/>
            </w14:solidFill>
          </w14:textFill>
        </w:rPr>
        <w:t>，减少原因压缩一般性支出</w:t>
      </w:r>
      <w:r>
        <w:rPr>
          <w:rFonts w:hint="eastAsia" w:ascii="仿宋_GB2312" w:hAnsi="黑体" w:eastAsia="仿宋_GB2312"/>
          <w:color w:val="000000" w:themeColor="text1"/>
          <w:sz w:val="32"/>
          <w:szCs w:val="32"/>
          <w:highlight w:val="none"/>
          <w14:textFill>
            <w14:solidFill>
              <w14:schemeClr w14:val="tx1"/>
            </w14:solidFill>
          </w14:textFill>
        </w:rPr>
        <w:t>。政府采购预算</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8700</w:t>
      </w:r>
      <w:r>
        <w:rPr>
          <w:rFonts w:hint="eastAsia" w:ascii="仿宋_GB2312" w:hAnsi="黑体" w:eastAsia="仿宋_GB2312"/>
          <w:color w:val="000000" w:themeColor="text1"/>
          <w:sz w:val="32"/>
          <w:szCs w:val="32"/>
          <w:highlight w:val="none"/>
          <w14:textFill>
            <w14:solidFill>
              <w14:schemeClr w14:val="tx1"/>
            </w14:solidFill>
          </w14:textFill>
        </w:rPr>
        <w:t>元，比上年预算数</w:t>
      </w:r>
      <w:r>
        <w:rPr>
          <w:rFonts w:hint="eastAsia" w:ascii="仿宋_GB2312" w:hAnsi="黑体" w:eastAsia="仿宋_GB2312"/>
          <w:color w:val="000000" w:themeColor="text1"/>
          <w:sz w:val="32"/>
          <w:szCs w:val="32"/>
          <w:highlight w:val="none"/>
          <w:lang w:eastAsia="zh-CN"/>
          <w14:textFill>
            <w14:solidFill>
              <w14:schemeClr w14:val="tx1"/>
            </w14:solidFill>
          </w14:textFill>
        </w:rPr>
        <w:t>减少</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29300</w:t>
      </w:r>
      <w:r>
        <w:rPr>
          <w:rFonts w:hint="eastAsia" w:ascii="仿宋_GB2312" w:hAnsi="黑体" w:eastAsia="仿宋_GB2312"/>
          <w:color w:val="000000" w:themeColor="text1"/>
          <w:sz w:val="32"/>
          <w:szCs w:val="32"/>
          <w:highlight w:val="none"/>
          <w14:textFill>
            <w14:solidFill>
              <w14:schemeClr w14:val="tx1"/>
            </w14:solidFill>
          </w14:textFill>
        </w:rPr>
        <w:t>元，</w:t>
      </w:r>
      <w:r>
        <w:rPr>
          <w:rFonts w:hint="eastAsia" w:ascii="仿宋_GB2312" w:hAnsi="黑体" w:eastAsia="仿宋_GB2312"/>
          <w:color w:val="000000" w:themeColor="text1"/>
          <w:sz w:val="32"/>
          <w:szCs w:val="32"/>
          <w:highlight w:val="none"/>
          <w:lang w:eastAsia="zh-CN"/>
          <w14:textFill>
            <w14:solidFill>
              <w14:schemeClr w14:val="tx1"/>
            </w14:solidFill>
          </w14:textFill>
        </w:rPr>
        <w:t>减少</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77.1</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，主要原因是：采购预算减少。</w:t>
      </w:r>
      <w:r>
        <w:rPr>
          <w:rFonts w:hint="eastAsia" w:ascii="仿宋_GB2312" w:hAnsi="黑体" w:eastAsia="仿宋_GB2312"/>
          <w:color w:val="000000" w:themeColor="text1"/>
          <w:sz w:val="32"/>
          <w:szCs w:val="32"/>
          <w:highlight w:val="none"/>
          <w14:textFill>
            <w14:solidFill>
              <w14:schemeClr w14:val="tx1"/>
            </w14:solidFill>
          </w14:textFill>
        </w:rPr>
        <w:t>其中：政府采购货物预算</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8700</w:t>
      </w:r>
      <w:r>
        <w:rPr>
          <w:rFonts w:hint="eastAsia" w:ascii="仿宋_GB2312" w:hAnsi="黑体" w:eastAsia="仿宋_GB2312"/>
          <w:color w:val="000000" w:themeColor="text1"/>
          <w:sz w:val="32"/>
          <w:szCs w:val="32"/>
          <w:highlight w:val="none"/>
          <w14:textFill>
            <w14:solidFill>
              <w14:schemeClr w14:val="tx1"/>
            </w14:solidFill>
          </w14:textFill>
        </w:rPr>
        <w:t>元，政府采购工程预算</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元，政府采购服务预算</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元。</w:t>
      </w: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bookmarkStart w:id="0" w:name="_GoBack"/>
      <w:bookmarkEnd w:id="0"/>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DNmNDE1NWJmZWRiNDdlOTMwNjk4ZmI5MGRkMzM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6E531B"/>
    <w:rsid w:val="00721BBD"/>
    <w:rsid w:val="007926A3"/>
    <w:rsid w:val="007A4BFC"/>
    <w:rsid w:val="007D20F6"/>
    <w:rsid w:val="00805E3C"/>
    <w:rsid w:val="0081299C"/>
    <w:rsid w:val="00845C1A"/>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D3610"/>
    <w:rsid w:val="00DE66F0"/>
    <w:rsid w:val="00E0384C"/>
    <w:rsid w:val="00E075CD"/>
    <w:rsid w:val="00E265F4"/>
    <w:rsid w:val="00E46B0B"/>
    <w:rsid w:val="00E760B0"/>
    <w:rsid w:val="00E80FCB"/>
    <w:rsid w:val="00E920D8"/>
    <w:rsid w:val="00E94B79"/>
    <w:rsid w:val="00EA085C"/>
    <w:rsid w:val="00F00669"/>
    <w:rsid w:val="00F3279B"/>
    <w:rsid w:val="00F42002"/>
    <w:rsid w:val="00F67610"/>
    <w:rsid w:val="00F9776C"/>
    <w:rsid w:val="047D2F82"/>
    <w:rsid w:val="04983CCC"/>
    <w:rsid w:val="060021DC"/>
    <w:rsid w:val="064D410C"/>
    <w:rsid w:val="06746E88"/>
    <w:rsid w:val="06BE6228"/>
    <w:rsid w:val="07EA6CFD"/>
    <w:rsid w:val="08FA0C32"/>
    <w:rsid w:val="0A116753"/>
    <w:rsid w:val="0B896034"/>
    <w:rsid w:val="0D824E94"/>
    <w:rsid w:val="0E6F37D9"/>
    <w:rsid w:val="0FBE61E4"/>
    <w:rsid w:val="112936A0"/>
    <w:rsid w:val="1250416D"/>
    <w:rsid w:val="13B82E0D"/>
    <w:rsid w:val="141D039C"/>
    <w:rsid w:val="159E2359"/>
    <w:rsid w:val="167A3846"/>
    <w:rsid w:val="17432B85"/>
    <w:rsid w:val="1909264A"/>
    <w:rsid w:val="198119BE"/>
    <w:rsid w:val="1A626EF3"/>
    <w:rsid w:val="1B78482C"/>
    <w:rsid w:val="1C6D1D31"/>
    <w:rsid w:val="1D654F62"/>
    <w:rsid w:val="1E68684F"/>
    <w:rsid w:val="1F9933FC"/>
    <w:rsid w:val="204B1966"/>
    <w:rsid w:val="205A7194"/>
    <w:rsid w:val="210F4887"/>
    <w:rsid w:val="22273516"/>
    <w:rsid w:val="2233056C"/>
    <w:rsid w:val="23513756"/>
    <w:rsid w:val="250F1490"/>
    <w:rsid w:val="25CD6ECB"/>
    <w:rsid w:val="292A0545"/>
    <w:rsid w:val="2B26350E"/>
    <w:rsid w:val="2B5C1C56"/>
    <w:rsid w:val="2BCF3D4E"/>
    <w:rsid w:val="2D550DF7"/>
    <w:rsid w:val="2DBA0562"/>
    <w:rsid w:val="2F176608"/>
    <w:rsid w:val="2FBE6CD5"/>
    <w:rsid w:val="31352995"/>
    <w:rsid w:val="32A96D1A"/>
    <w:rsid w:val="34032DB0"/>
    <w:rsid w:val="34B82D6F"/>
    <w:rsid w:val="35F10A8E"/>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4F4F29D9"/>
    <w:rsid w:val="50622DD8"/>
    <w:rsid w:val="51C77E42"/>
    <w:rsid w:val="54B1376D"/>
    <w:rsid w:val="56311F34"/>
    <w:rsid w:val="564548F7"/>
    <w:rsid w:val="565305B1"/>
    <w:rsid w:val="56C73340"/>
    <w:rsid w:val="59441D15"/>
    <w:rsid w:val="5A3206F2"/>
    <w:rsid w:val="5A7616BE"/>
    <w:rsid w:val="5ADF0FE5"/>
    <w:rsid w:val="61EF1B1B"/>
    <w:rsid w:val="621A3658"/>
    <w:rsid w:val="62B62979"/>
    <w:rsid w:val="64252B6E"/>
    <w:rsid w:val="651520BC"/>
    <w:rsid w:val="661A6258"/>
    <w:rsid w:val="6A136FDE"/>
    <w:rsid w:val="6A543779"/>
    <w:rsid w:val="6A752B54"/>
    <w:rsid w:val="6B7E6D42"/>
    <w:rsid w:val="6EA6456E"/>
    <w:rsid w:val="7450394B"/>
    <w:rsid w:val="74517818"/>
    <w:rsid w:val="75840CDB"/>
    <w:rsid w:val="75FA50B5"/>
    <w:rsid w:val="771640A9"/>
    <w:rsid w:val="77781E83"/>
    <w:rsid w:val="78062181"/>
    <w:rsid w:val="7890225F"/>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font31"/>
    <w:basedOn w:val="8"/>
    <w:qFormat/>
    <w:uiPriority w:val="0"/>
    <w:rPr>
      <w:rFonts w:ascii="Calibri" w:hAnsi="Calibri" w:cs="Calibri"/>
      <w:color w:val="000000"/>
      <w:sz w:val="22"/>
      <w:szCs w:val="22"/>
      <w:u w:val="none"/>
    </w:rPr>
  </w:style>
  <w:style w:type="character" w:customStyle="1" w:styleId="14">
    <w:name w:val="font51"/>
    <w:basedOn w:val="8"/>
    <w:qFormat/>
    <w:uiPriority w:val="0"/>
    <w:rPr>
      <w:rFonts w:ascii="Calibri" w:hAnsi="Calibri" w:cs="Calibri"/>
      <w:color w:val="000000"/>
      <w:sz w:val="22"/>
      <w:szCs w:val="22"/>
      <w:u w:val="none"/>
    </w:rPr>
  </w:style>
  <w:style w:type="character" w:customStyle="1" w:styleId="15">
    <w:name w:val="font71"/>
    <w:basedOn w:val="8"/>
    <w:qFormat/>
    <w:uiPriority w:val="0"/>
    <w:rPr>
      <w:rFonts w:ascii="Calibri" w:hAnsi="Calibri" w:cs="Calibri"/>
      <w:color w:val="000000"/>
      <w:sz w:val="18"/>
      <w:szCs w:val="18"/>
      <w:u w:val="none"/>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2939</Words>
  <Characters>3335</Characters>
  <Lines>19</Lines>
  <Paragraphs>5</Paragraphs>
  <TotalTime>7</TotalTime>
  <ScaleCrop>false</ScaleCrop>
  <LinksUpToDate>false</LinksUpToDate>
  <CharactersWithSpaces>3423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2022-08-17T04:54:00Z</dcterms:created>
  <dc:creator>Windows 用户</dc:creator>
  <cp:lastModifiedBy>Administrator</cp:lastModifiedBy>
  <cp:lastPrinted>2022-08-17T07:47:00Z</cp:lastPrinted>
  <dcterms:modified xsi:type="dcterms:W3CDTF">2023-06-08T02:19:24Z</dcterms:modified>
  <dc:title>临夏回族自治州**局部门预算（此处请用单位全称，居中）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53F608F4411D42F09CCA14D73551B38F_13</vt:lpwstr>
  </property>
</Properties>
</file>