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32"/>
          <w:szCs w:val="32"/>
        </w:rPr>
      </w:pPr>
      <w:bookmarkStart w:id="0" w:name="bookmark2"/>
      <w:bookmarkStart w:id="1" w:name="bookmark0"/>
      <w:bookmarkStart w:id="2" w:name="bookmark1"/>
      <w:r>
        <w:rPr>
          <w:rFonts w:hint="eastAsia" w:ascii="方正小标宋_GBK" w:hAnsi="方正小标宋_GBK" w:eastAsia="方正小标宋_GBK" w:cs="方正小标宋_GBK"/>
          <w:sz w:val="32"/>
          <w:szCs w:val="32"/>
          <w:lang w:val="en-US" w:eastAsia="zh-CN"/>
        </w:rPr>
        <w:t>赵家学区</w:t>
      </w: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1</w:t>
      </w:r>
      <w:r>
        <w:rPr>
          <w:rFonts w:hint="eastAsia" w:ascii="方正小标宋_GBK" w:hAnsi="方正小标宋_GBK" w:eastAsia="方正小标宋_GBK" w:cs="方正小标宋_GBK"/>
          <w:sz w:val="32"/>
          <w:szCs w:val="32"/>
        </w:rPr>
        <w:t>年度部门决算情况说明</w:t>
      </w:r>
      <w:bookmarkEnd w:id="0"/>
      <w:bookmarkEnd w:id="1"/>
      <w:bookmarkEnd w:id="2"/>
    </w:p>
    <w:p>
      <w:pPr>
        <w:bidi w:val="0"/>
        <w:rPr>
          <w:rFonts w:hint="eastAsia" w:ascii="方正小标宋简体" w:hAnsi="方正小标宋简体" w:eastAsia="方正小标宋简体" w:cs="方正小标宋简体"/>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目</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录</w:t>
      </w:r>
      <w:bookmarkStart w:id="20" w:name="_GoBack"/>
      <w:bookmarkEnd w:id="20"/>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1.宣传贯彻执行党和国家的教育方针、政策、法律法规等，坚持依法治教、依法治学，贯彻执行县教育局的行政规章制度。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2.配合县、乡人民政府制定符合党的教育方针和国家教育法律法规以及本校实际的教育发展规划和学校布局调整规划,并抓好组织实施和落实工作。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3.配合各级人民政府依法动员、组织适龄儿童少年入学，严格控制辍学。负责抓所在镇的成人教育工作，抓好扫盲和巩固工作，推进普及义务教育。</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4.组织开展本校的教育教学科研和教育教学改革，科研兴教，科研兴校。负责对本校教育教学业务的具体管理，负责教育教学管理及教研教改工作，全力推进素质教育实施。</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5.按照教师的职数、编制和管理权限，负责本校教师人事管理、继续教育、考核考评等工作。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6.指导、管理、检查、评价本校的教育教学工作，提高办学质量和办学效益。按照义务教育课程计划，开齐课程，开足课时，认真实施中小学的教育教学管理，全面推进素质教育，全面提高教育教学质量。</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根据上述职责，赵家小学下设5个内设机构：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1.办公室</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综合协调，创造和谐的办公环境。围绕学校工作，协助校长、督促学校部门积极做好</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，对各部门常规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开展情况进行统计，做好记录，及时向校长反馈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信息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，为学校决策提供参考依据。做好统筹协调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，整合部门之间的相关</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，上情下达，下情上晓要及时、准确；做部门之间沟通的桥梁，维护好学校班子的团结，提高</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效率；上传下达，创设畅通的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信息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，确保有序的运转机制。及时出好会议通知、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安排通知、节假日放假安排等通知；安排好节、假日的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"http://www.eduzhai.net/falv/"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行政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值班</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，做好合理的招待安排，按照规定备办接待用餐；加强劳动纪律管理工作：制定考勤制度，严格履行请假手续；建立行政办档案，做到事事有记载，人人可查询。</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2.教务处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协助校长贯彻执行党和国家的教育方针，按教育规律办学，全面完成小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室、实验室、艺术工作室等功能室的建设，会同总务主任，作出改造、更新上述设备的计划。对图书室、信息室、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3.政教处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小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开展有益于学生身心健康的教育活动。负责学校与社区的共建工作及综合治安管理工作；制定德育系列相关制度，作好德育系列档案制作及保管工作。</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4.教研室</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5.总务处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学习、教学</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和生活环境。结合学校的财力，有计划的对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教学楼</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进行修缮，防止浪费并及时处理突发性问题；努力提高教职工的福利待遇，努力改善教职工的工作条件和生活条件；方便师生的生活。</w:t>
      </w:r>
    </w:p>
    <w:bookmarkEnd w:id="16"/>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一、收入支出决算总体情况说明</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本部门（本单位）</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2021年度收入总计10178417.8元，支出总计10130676.44元，与2020年决算数相比，收入增加5893200元，增长5.8%，支出增加6682022元，增长6.6%。主要原因是学生和老师数增加</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二、收入决算情况说明</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本部门（本单位）</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年度收入合计</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10080489.82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元，其中：财政拨款收入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10080489.82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三、支出决算情况说明</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本部门（本单位）</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年度支出合计10130676.44元，其中：基本支出</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zh-TW"/>
        </w:rPr>
        <w:t>10130676.44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四</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、财政拨款收入支出决算总体情况说明</w:t>
      </w:r>
    </w:p>
    <w:p>
      <w:pPr>
        <w:bidi w:val="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本部门（本单位）</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年度财政拨款收入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10178417.8元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元，较上年决算数增加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5893200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元，增长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5.8</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学生和老师数增加</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年度财政拨款支出10130676.44元，较上年决算数增加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6682022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元，增长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学生和老师数增加。</w:t>
      </w:r>
    </w:p>
    <w:p>
      <w:pPr>
        <w:bidi w:val="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2021 年度一般公共预算财政拨款支出1013.1万元，占本年支出的 100%，较上年决算数增加668.2万元，增长6.6%。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学生和老师数增加。</w:t>
      </w:r>
    </w:p>
    <w:p>
      <w:pPr>
        <w:bidi w:val="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一般公共服务支出10130676.44元，占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100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%,较年初预算数增加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6682022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学生和老师数增加。</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一般公共服务支出</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47825</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4.7</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sz w:val="32"/>
          <w:szCs w:val="32"/>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商业服务业等支出</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805482.32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7.9</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sz w:val="32"/>
          <w:szCs w:val="32"/>
          <w:lang w:val="en-US" w:eastAsia="zh-CN"/>
        </w:rPr>
        <w:t>10080489.82</w:t>
      </w:r>
      <w:r>
        <w:rPr>
          <w:rFonts w:hint="eastAsia" w:ascii="仿宋_GB2312" w:hAnsi="仿宋_GB2312" w:eastAsia="仿宋_GB2312" w:cs="仿宋_GB2312"/>
          <w:color w:val="000000"/>
          <w:spacing w:val="0"/>
          <w:w w:val="100"/>
          <w:position w:val="0"/>
          <w:sz w:val="32"/>
          <w:szCs w:val="32"/>
        </w:rPr>
        <w:t>元。其中：人员经费9264369.12元，较上年增加</w:t>
      </w:r>
      <w:r>
        <w:rPr>
          <w:rFonts w:hint="eastAsia" w:ascii="仿宋_GB2312" w:hAnsi="仿宋_GB2312" w:eastAsia="仿宋_GB2312" w:cs="仿宋_GB2312"/>
          <w:color w:val="000000"/>
          <w:spacing w:val="0"/>
          <w:w w:val="100"/>
          <w:position w:val="0"/>
          <w:sz w:val="32"/>
          <w:szCs w:val="32"/>
          <w:lang w:val="en-US" w:eastAsia="zh-CN"/>
        </w:rPr>
        <w:t>568523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学生和老师数增加</w:t>
      </w:r>
      <w:r>
        <w:rPr>
          <w:rFonts w:hint="eastAsia"/>
          <w:sz w:val="32"/>
          <w:szCs w:val="32"/>
          <w:lang w:val="en-US" w:eastAsia="zh-CN"/>
        </w:rPr>
        <w:t>。</w:t>
      </w:r>
      <w:r>
        <w:rPr>
          <w:rFonts w:hint="eastAsia" w:ascii="仿宋_GB2312" w:hAnsi="仿宋_GB2312" w:eastAsia="仿宋_GB2312" w:cs="仿宋_GB2312"/>
          <w:color w:val="000000"/>
          <w:spacing w:val="0"/>
          <w:w w:val="100"/>
          <w:position w:val="0"/>
          <w:sz w:val="32"/>
          <w:szCs w:val="32"/>
        </w:rPr>
        <w:t>公用经费1686331.72元，较上年增加</w:t>
      </w:r>
      <w:r>
        <w:rPr>
          <w:rFonts w:hint="eastAsia" w:ascii="仿宋_GB2312" w:hAnsi="仿宋_GB2312" w:eastAsia="仿宋_GB2312" w:cs="仿宋_GB2312"/>
          <w:color w:val="000000"/>
          <w:spacing w:val="0"/>
          <w:w w:val="100"/>
          <w:position w:val="0"/>
          <w:sz w:val="32"/>
          <w:szCs w:val="32"/>
          <w:lang w:val="en-US" w:eastAsia="zh-CN"/>
        </w:rPr>
        <w:t>35261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学生和老师数增加</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5"/>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g1NTBkNzMwYjQ2ZDhmOTBjMTJmMDNlYzdlMTFjZTMifQ=="/>
  </w:docVars>
  <w:rsids>
    <w:rsidRoot w:val="00000000"/>
    <w:rsid w:val="0511788F"/>
    <w:rsid w:val="06AA1511"/>
    <w:rsid w:val="0A4C6688"/>
    <w:rsid w:val="1739327C"/>
    <w:rsid w:val="19BA4320"/>
    <w:rsid w:val="1AC5408A"/>
    <w:rsid w:val="1B205130"/>
    <w:rsid w:val="1E712589"/>
    <w:rsid w:val="1F523B54"/>
    <w:rsid w:val="25FD0C5D"/>
    <w:rsid w:val="286C5143"/>
    <w:rsid w:val="29C05E6C"/>
    <w:rsid w:val="2F990904"/>
    <w:rsid w:val="34165CD9"/>
    <w:rsid w:val="385A50BB"/>
    <w:rsid w:val="39F46F0A"/>
    <w:rsid w:val="3ABD5DEE"/>
    <w:rsid w:val="3BD710AD"/>
    <w:rsid w:val="41670196"/>
    <w:rsid w:val="42736B67"/>
    <w:rsid w:val="43D445BB"/>
    <w:rsid w:val="4B60103E"/>
    <w:rsid w:val="4F1428B3"/>
    <w:rsid w:val="537062B7"/>
    <w:rsid w:val="57D535F7"/>
    <w:rsid w:val="58806626"/>
    <w:rsid w:val="5886338A"/>
    <w:rsid w:val="5AC86707"/>
    <w:rsid w:val="60D720E0"/>
    <w:rsid w:val="62922058"/>
    <w:rsid w:val="71381217"/>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7241</Words>
  <Characters>7926</Characters>
  <TotalTime>1</TotalTime>
  <ScaleCrop>false</ScaleCrop>
  <LinksUpToDate>false</LinksUpToDate>
  <CharactersWithSpaces>7973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永恒之星</cp:lastModifiedBy>
  <cp:lastPrinted>2022-08-31T08:40:00Z</cp:lastPrinted>
  <dcterms:modified xsi:type="dcterms:W3CDTF">2023-09-20T08:09:57Z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3FB965A942B84C0B8C0D4DECFF396933</vt:lpwstr>
  </property>
</Properties>
</file>