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东乡族自治县城市管理综合执法局</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宣传、贯彻国家及省有关法律、法规和规章，研究拟定有关市容环境卫生等方面的地方规范性文件，制定城市容貌标准，并负责督促实施；行使县城市容和环境卫生管理方面法律、法规、规章规定的行政处罚权；行使城市绿化管理方面法律、法规、规章规定的行政处罚权；行使市政管理方面法律、法规、规章规定的行政处罚权，负责市政设施的维护及维修；行使环境保护管理方面法律、法规、规章规定的对下列违法行为的行政处罚权：1.在人口集中地区焚烧产生有害烟尘和恶臭气体的物质的；2.城市饮食服务业的经营者未采取有效污染防治措施，致使排放的油烟对附近居民的居住环境造成污染的；3.不按规定贮存、运输、处置城市生活垃圾的；4.未按规定随意堆放、倾倒工业固体废物的；</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施工单位不及时清运、处置建筑垃圾的，运输过程中泄漏、遗撒固体废物的；行使公安交通管理方面法律、法规、规章规定的对侵占人行道和公共广场行为的行政处罚权；负责县城区域建设性、经营性临时占道工程渣土、户外广告的管理工作。督促相关部门做好拆迁现场和施工现场的文明施工管理；检查、督促全县城的门前“七包”工作；负责县城城区防汛排水工作；承办东乡县委县政府交办的其他事项。</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办公室、市场管理股、市政设施维修股、环卫股、市容综合执法大队、河滩、龙泉、达板、那勒寺执法中队</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(请插入具体报表,若无法插入,请标明见附件)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(若上述某个表为空表,请在表中备注：本部门没有相关数据,故本表无数据。)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收入总计106946801.68元，支出总计106946801.68元，与2021年决算数相比，收入减少12659392.58元，减少10.58%，支出减少12659392.58元，减少10.58%。主要原因是</w:t>
      </w:r>
      <w:r>
        <w:rPr>
          <w:rFonts w:hint="eastAsia" w:ascii="仿宋_GB2312" w:hAnsi="仿宋_GB2312" w:eastAsia="仿宋_GB2312" w:cs="仿宋_GB2312"/>
          <w:color w:val="000000"/>
          <w:spacing w:val="0"/>
          <w:w w:val="100"/>
          <w:position w:val="0"/>
          <w:sz w:val="32"/>
          <w:szCs w:val="32"/>
          <w:lang w:eastAsia="zh-CN"/>
        </w:rPr>
        <w:t>比去年减少了社会保障和就业、城乡社区及等其他的资金，相比去年减少了</w:t>
      </w:r>
      <w:r>
        <w:rPr>
          <w:rFonts w:hint="eastAsia" w:ascii="仿宋_GB2312" w:hAnsi="仿宋_GB2312" w:eastAsia="仿宋_GB2312" w:cs="仿宋_GB2312"/>
          <w:color w:val="000000"/>
          <w:spacing w:val="0"/>
          <w:w w:val="100"/>
          <w:position w:val="0"/>
          <w:sz w:val="32"/>
          <w:szCs w:val="32"/>
          <w:lang w:val="zh-CN" w:eastAsia="zh-CN"/>
        </w:rPr>
        <w:t>年初结转和结余资金</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000000"/>
          <w:spacing w:val="0"/>
          <w:w w:val="100"/>
          <w:position w:val="0"/>
          <w:sz w:val="32"/>
          <w:szCs w:val="32"/>
          <w:lang w:val="en-US" w:eastAsia="zh-CN"/>
        </w:rPr>
        <w:t>105167385.64</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105167385.64</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bookmarkStart w:id="0" w:name="_GoBack"/>
      <w:bookmarkEnd w:id="0"/>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000000"/>
          <w:spacing w:val="0"/>
          <w:w w:val="100"/>
          <w:position w:val="0"/>
          <w:sz w:val="32"/>
          <w:szCs w:val="32"/>
          <w:lang w:val="en-US" w:eastAsia="zh-CN"/>
        </w:rPr>
        <w:t>105539130</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21056667.31</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84482462.69</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105167385.64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11366715.19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减少10.8%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比去年减少了农林水支出及其他支出资金的经费投入。</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年度财政拨款支出105539130元，较上年决算数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12287648.22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减少11.64%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减少了社会保障和就业支出、城乡社区支出及其他支出的资金</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105539130</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15970381.2</w:t>
      </w:r>
      <w:r>
        <w:rPr>
          <w:rFonts w:hint="eastAsia" w:ascii="仿宋_GB2312" w:hAnsi="仿宋_GB2312" w:eastAsia="仿宋_GB2312" w:cs="仿宋_GB2312"/>
          <w:color w:val="auto"/>
          <w:sz w:val="32"/>
          <w:szCs w:val="32"/>
          <w:lang w:val="zh-CN"/>
        </w:rPr>
        <w:t>元,上升</w:t>
      </w:r>
      <w:r>
        <w:rPr>
          <w:rFonts w:hint="eastAsia" w:ascii="仿宋_GB2312" w:hAnsi="仿宋_GB2312" w:eastAsia="仿宋_GB2312" w:cs="仿宋_GB2312"/>
          <w:color w:val="auto"/>
          <w:sz w:val="32"/>
          <w:szCs w:val="32"/>
          <w:lang w:val="en-US" w:eastAsia="zh-CN"/>
        </w:rPr>
        <w:t>17.8</w:t>
      </w:r>
      <w:r>
        <w:rPr>
          <w:rFonts w:hint="eastAsia" w:ascii="仿宋_GB2312" w:hAnsi="仿宋_GB2312" w:eastAsia="仿宋_GB2312" w:cs="仿宋_GB2312"/>
          <w:color w:val="auto"/>
          <w:sz w:val="32"/>
          <w:szCs w:val="32"/>
          <w:lang w:val="zh-CN"/>
        </w:rPr>
        <w:t>%。主要原因是增加了项目支出方面的资金。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116154.72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41460元</w:t>
      </w:r>
      <w:r>
        <w:rPr>
          <w:rFonts w:hint="eastAsia" w:ascii="仿宋_GB2312" w:hAnsi="仿宋_GB2312" w:eastAsia="仿宋_GB2312" w:cs="仿宋_GB2312"/>
          <w:color w:val="auto"/>
          <w:sz w:val="32"/>
          <w:szCs w:val="32"/>
          <w:lang w:val="zh-CN"/>
        </w:rPr>
        <w:t>,完成年初预算的</w:t>
      </w:r>
      <w:r>
        <w:rPr>
          <w:rFonts w:hint="eastAsia" w:ascii="仿宋_GB2312" w:hAnsi="仿宋_GB2312" w:eastAsia="仿宋_GB2312" w:cs="仿宋_GB2312"/>
          <w:color w:val="auto"/>
          <w:sz w:val="32"/>
          <w:szCs w:val="32"/>
          <w:lang w:val="en-US" w:eastAsia="zh-CN"/>
        </w:rPr>
        <w:t>35.7</w:t>
      </w:r>
      <w:r>
        <w:rPr>
          <w:rFonts w:hint="eastAsia" w:ascii="仿宋_GB2312" w:hAnsi="仿宋_GB2312" w:eastAsia="仿宋_GB2312" w:cs="仿宋_GB2312"/>
          <w:color w:val="auto"/>
          <w:sz w:val="32"/>
          <w:szCs w:val="32"/>
          <w:lang w:val="zh-CN"/>
        </w:rPr>
        <w:t>%,决算数小于预算数的主要原因是对一般公共服务支出的经费投入减少。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940853.23</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7924239.8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842.24</w:t>
      </w:r>
      <w:r>
        <w:rPr>
          <w:rFonts w:hint="eastAsia" w:ascii="仿宋_GB2312" w:hAnsi="仿宋_GB2312" w:eastAsia="仿宋_GB2312" w:cs="仿宋_GB2312"/>
          <w:color w:val="auto"/>
          <w:sz w:val="32"/>
          <w:szCs w:val="32"/>
          <w:lang w:val="zh-CN"/>
        </w:rPr>
        <w:t>%，决算数大于预算数的主要原因是对就业补助及行政事业单位养老支出</w:t>
      </w:r>
      <w:r>
        <w:rPr>
          <w:rFonts w:hint="eastAsia" w:ascii="仿宋_GB2312" w:hAnsi="仿宋_GB2312" w:eastAsia="仿宋_GB2312" w:cs="仿宋_GB2312"/>
          <w:color w:val="auto"/>
          <w:sz w:val="32"/>
          <w:szCs w:val="32"/>
          <w:lang w:val="zh-CN"/>
        </w:rPr>
        <w:t>的经费增加。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386682.84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376066.76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97.3</w:t>
      </w:r>
      <w:r>
        <w:rPr>
          <w:rFonts w:hint="eastAsia" w:ascii="仿宋_GB2312" w:hAnsi="仿宋_GB2312" w:eastAsia="仿宋_GB2312" w:cs="仿宋_GB2312"/>
          <w:color w:val="auto"/>
          <w:sz w:val="32"/>
          <w:szCs w:val="32"/>
          <w:lang w:val="zh-CN"/>
        </w:rPr>
        <w:t>%，决算数小于预算数的主要原因是对基本医疗保险基金补助的经费投入减少。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60486390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72379482.44</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119.6</w:t>
      </w:r>
      <w:r>
        <w:rPr>
          <w:rFonts w:hint="eastAsia" w:ascii="仿宋_GB2312" w:hAnsi="仿宋_GB2312" w:eastAsia="仿宋_GB2312" w:cs="仿宋_GB2312"/>
          <w:color w:val="auto"/>
          <w:sz w:val="32"/>
          <w:szCs w:val="32"/>
          <w:lang w:val="zh-CN"/>
        </w:rPr>
        <w:t>%,决算数大于预算数的主要原因是对城乡社区管理事务支出的经费投入增加。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24112000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%，决算数大于预算数的主要原因是对其他林业和草原支出、其他水利支出及巩固脱贫衔接乡村振兴的经费投入增加</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14.资源勘探工业信息等支</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696928.32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705881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101.3</w:t>
      </w:r>
      <w:r>
        <w:rPr>
          <w:rFonts w:hint="eastAsia" w:ascii="仿宋_GB2312" w:hAnsi="仿宋_GB2312" w:eastAsia="仿宋_GB2312" w:cs="仿宋_GB2312"/>
          <w:color w:val="auto"/>
          <w:sz w:val="32"/>
          <w:szCs w:val="32"/>
          <w:lang w:val="zh-CN"/>
        </w:rPr>
        <w:t>%，决算数大于预算数的主要原因是对住房公积金的经费投入增加</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21056667.31</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10748394.56</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2224021.4</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26.1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主要原因是增加了基本工资及津贴补贴等方面的资金。</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auto"/>
          <w:sz w:val="32"/>
          <w:szCs w:val="32"/>
          <w:lang w:val="zh-CN" w:eastAsia="zh-CN"/>
        </w:rPr>
        <w:t>主要包括基本工资、津贴补贴、奖金、机关事业单位基本养老保险缴费、职工基本医疗保险缴费、对个人和家庭的补助、退休费、生活补助、 奖励金。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10308272.75</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5144902.54</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主要原因是减少了各类商品和服务支出的资金。公用经费用途主要包括办公费、水费、电费、邮电费、取暖费、差旅费、维修（护）费、劳务费、工会经费。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149</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149</w:t>
      </w:r>
      <w:r>
        <w:rPr>
          <w:rFonts w:hint="eastAsia" w:ascii="仿宋_GB2312" w:hAnsi="仿宋_GB2312" w:eastAsia="仿宋_GB2312" w:cs="仿宋_GB2312"/>
          <w:color w:val="auto"/>
          <w:sz w:val="32"/>
          <w:szCs w:val="32"/>
          <w:lang w:val="zh-CN"/>
        </w:rPr>
        <w:t>万元、政府采购工程支出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万元。授予中小企业合同金额</w:t>
      </w:r>
      <w:r>
        <w:rPr>
          <w:rFonts w:hint="eastAsia" w:ascii="仿宋_GB2312" w:hAnsi="仿宋_GB2312" w:eastAsia="仿宋_GB2312" w:cs="仿宋_GB2312"/>
          <w:color w:val="auto"/>
          <w:sz w:val="32"/>
          <w:szCs w:val="32"/>
          <w:lang w:val="en-US" w:eastAsia="zh-CN"/>
        </w:rPr>
        <w:t>149</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zh-CN"/>
        </w:rPr>
        <w:t>辆,其他用车主要是用于垃圾清运、扫路等城市管理工作。单价100万元(含)以上设备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lang w:val="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2022年度政府性基金预算财政拨款年初结转结余0万元，本年收入0万元，本年支出0万元，年末结转和结余0</w:t>
      </w:r>
      <w:r>
        <w:rPr>
          <w:rFonts w:hint="eastAsia" w:ascii="仿宋_GB2312" w:hAnsi="仿宋_GB2312" w:eastAsia="仿宋_GB2312" w:cs="仿宋_GB2312"/>
          <w:kern w:val="2"/>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2022年度国有资本经营预算财政拨款本年支出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我单位属于全额事业单位,财政未保障我单位“三公”经费。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spacing w:line="64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val="en-US"/>
        </w:rPr>
        <w:t>个,共涉及资金</w:t>
      </w:r>
      <w:r>
        <w:rPr>
          <w:rFonts w:hint="eastAsia" w:ascii="仿宋_GB2312" w:hAnsi="仿宋_GB2312" w:eastAsia="仿宋_GB2312" w:cs="仿宋_GB2312"/>
          <w:color w:val="000000"/>
          <w:kern w:val="0"/>
          <w:sz w:val="32"/>
          <w:szCs w:val="32"/>
          <w:lang w:val="en-US" w:eastAsia="zh-CN"/>
        </w:rPr>
        <w:t>5146.82</w:t>
      </w:r>
      <w:r>
        <w:rPr>
          <w:rFonts w:hint="eastAsia" w:ascii="仿宋_GB2312" w:hAnsi="仿宋_GB2312" w:eastAsia="仿宋_GB2312" w:cs="仿宋_GB2312"/>
          <w:color w:val="000000"/>
          <w:kern w:val="0"/>
          <w:sz w:val="32"/>
          <w:szCs w:val="32"/>
          <w:lang w:val="en-US"/>
        </w:rPr>
        <w:t>万元,占一般公共预算项目支出总额的</w:t>
      </w:r>
      <w:r>
        <w:rPr>
          <w:rFonts w:hint="eastAsia" w:ascii="仿宋_GB2312" w:hAnsi="仿宋_GB2312" w:eastAsia="仿宋_GB2312" w:cs="仿宋_GB2312"/>
          <w:color w:val="000000"/>
          <w:kern w:val="0"/>
          <w:sz w:val="32"/>
          <w:szCs w:val="32"/>
          <w:lang w:val="en-US" w:eastAsia="zh-CN"/>
        </w:rPr>
        <w:t>64.15</w:t>
      </w:r>
      <w:r>
        <w:rPr>
          <w:rFonts w:hint="eastAsia" w:ascii="仿宋_GB2312" w:hAnsi="仿宋_GB2312" w:eastAsia="仿宋_GB2312" w:cs="仿宋_GB2312"/>
          <w:color w:val="000000"/>
          <w:kern w:val="0"/>
          <w:sz w:val="32"/>
          <w:szCs w:val="32"/>
          <w:lang w:val="en-US"/>
        </w:rPr>
        <w:t>%。对2022年度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个政府性基金预算项目开展绩效自评,共涉及资金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万元,占政府性基金预算项目支出总额的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%。组织对2022年度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个国有资本经营预算项目开展绩效自评,共涉及资金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万元,占国有资本经营预算项目支出总额的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%。组织对“</w:t>
      </w:r>
      <w:r>
        <w:rPr>
          <w:rFonts w:hint="eastAsia" w:ascii="仿宋_GB2312" w:hAnsi="仿宋_GB2312" w:eastAsia="仿宋_GB2312" w:cs="仿宋_GB2312"/>
          <w:color w:val="000000"/>
          <w:kern w:val="0"/>
          <w:sz w:val="32"/>
          <w:szCs w:val="32"/>
          <w:lang w:val="en-US" w:eastAsia="zh-CN"/>
        </w:rPr>
        <w:t>东乡县县城给排水管网改扩建工程</w:t>
      </w:r>
      <w:r>
        <w:rPr>
          <w:rFonts w:hint="eastAsia"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val="en-US" w:eastAsia="zh-CN"/>
        </w:rPr>
        <w:t>八大集镇环境整治</w:t>
      </w:r>
      <w:r>
        <w:rPr>
          <w:rFonts w:hint="eastAsia"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val="en-US" w:eastAsia="zh-CN"/>
        </w:rPr>
        <w:t>东乡县县城维护及建设费</w:t>
      </w:r>
      <w:r>
        <w:rPr>
          <w:rFonts w:hint="eastAsia"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val="en-US"/>
        </w:rPr>
        <w:t>个项目开展了部门评价,涉及一般公共预算支出</w:t>
      </w:r>
      <w:r>
        <w:rPr>
          <w:rFonts w:hint="eastAsia" w:ascii="仿宋_GB2312" w:hAnsi="仿宋_GB2312" w:eastAsia="仿宋_GB2312" w:cs="仿宋_GB2312"/>
          <w:color w:val="000000"/>
          <w:kern w:val="0"/>
          <w:sz w:val="32"/>
          <w:szCs w:val="32"/>
          <w:lang w:val="en-US" w:eastAsia="zh-CN"/>
        </w:rPr>
        <w:t>5146.82</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万元,国有资本经营预算支出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万元。从评价情况来看,</w:t>
      </w:r>
      <w:r>
        <w:rPr>
          <w:rFonts w:hint="eastAsia" w:ascii="仿宋_GB2312" w:hAnsi="黑体" w:eastAsia="仿宋_GB2312"/>
          <w:sz w:val="32"/>
          <w:szCs w:val="32"/>
          <w:lang w:val="en-US" w:eastAsia="zh-CN"/>
        </w:rPr>
        <w:t>为确保部门工作目标与整体战略目标的一致性，在单位内形成以绩效为导向的财政资金管理机制，建立统一、规范的绩效管理体系并全面正确实施，本单位2022年</w:t>
      </w:r>
      <w:r>
        <w:rPr>
          <w:rFonts w:hint="default" w:ascii="仿宋_GB2312" w:hAnsi="黑体" w:eastAsia="仿宋_GB2312"/>
          <w:sz w:val="32"/>
          <w:szCs w:val="32"/>
          <w:lang w:val="en-US" w:eastAsia="zh-CN"/>
        </w:rPr>
        <w:t>成立预算绩效管理工作领导小组，及时传达学习绩效评价有关工作要求，充分认识绩效评价工作的重要性和必要性，全面抓好预算绩效自评工作组织领导</w:t>
      </w:r>
      <w:r>
        <w:rPr>
          <w:rFonts w:hint="eastAsia" w:ascii="仿宋_GB2312" w:hAnsi="黑体" w:eastAsia="仿宋_GB2312"/>
          <w:sz w:val="32"/>
          <w:szCs w:val="32"/>
          <w:lang w:val="en-US" w:eastAsia="zh-CN"/>
        </w:rPr>
        <w:t>；</w:t>
      </w:r>
      <w:r>
        <w:rPr>
          <w:rFonts w:hint="default" w:ascii="仿宋_GB2312" w:hAnsi="黑体" w:eastAsia="仿宋_GB2312"/>
          <w:sz w:val="32"/>
          <w:szCs w:val="32"/>
          <w:lang w:val="en-US" w:eastAsia="zh-CN"/>
        </w:rPr>
        <w:t>根据预算绩效管理工作领导小组职责和分工，压实责任，强化措施，确保绩效自评工作顺利开展。为确保绩效自评工作客观准确和顺利开展，完善了《县城管局绩效评价管理制度》、《县城管局预算绩效管理工作实施方案》等</w:t>
      </w:r>
      <w:r>
        <w:rPr>
          <w:rFonts w:hint="eastAsia" w:ascii="仿宋_GB2312" w:hAnsi="黑体" w:eastAsia="仿宋_GB2312"/>
          <w:sz w:val="32"/>
          <w:szCs w:val="32"/>
          <w:lang w:val="en-US" w:eastAsia="zh-CN"/>
        </w:rPr>
        <w:t>；</w:t>
      </w:r>
      <w:r>
        <w:rPr>
          <w:rFonts w:hint="default" w:ascii="仿宋_GB2312" w:hAnsi="黑体" w:eastAsia="仿宋_GB2312"/>
          <w:sz w:val="32"/>
          <w:szCs w:val="32"/>
          <w:lang w:val="en-US" w:eastAsia="zh-CN"/>
        </w:rPr>
        <w:t>组织和协调相关股室开展绩效自评工作，填报项目绩效目标完成情况和项目资金使用情况，完成自评评分。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spacing w:line="640" w:lineRule="exact"/>
        <w:ind w:firstLine="640" w:firstLineChars="200"/>
        <w:rPr>
          <w:rFonts w:hint="eastAsia" w:ascii="仿宋_GB2312" w:hAnsi="黑体" w:eastAsia="仿宋_GB2312"/>
          <w:sz w:val="32"/>
          <w:szCs w:val="32"/>
          <w:lang w:val="zh-CN" w:eastAsia="zh-CN"/>
        </w:rPr>
      </w:pPr>
      <w:r>
        <w:rPr>
          <w:rFonts w:hint="eastAsia" w:ascii="仿宋_GB2312" w:hAnsi="黑体" w:eastAsia="仿宋_GB2312"/>
          <w:sz w:val="32"/>
          <w:szCs w:val="32"/>
          <w:lang w:val="en-US" w:eastAsia="zh-CN"/>
        </w:rPr>
        <w:t>我部门在2022年度部门决算中反映“东乡县县城给排水管网改扩建工程”、“八大集镇环境整治”、“东乡县县城维护及建设费”3个项目绩效自评结果。东乡县县城给排水管网改扩建工程项目绩效自评情况：根据年初设定的绩效目标,项目绩效自评得分为90分。项目全年预算数为3200万元,执行数为3200万元,完成预算的100%。项目绩效目标完成情况：一是资金投入实际完成值为100%；二是人民群众的满意度在逐步提高。发现的主要问题及原因：一是部分产岀指标设定过于简单，指标设置还需进一步细化；二是工程项目进度缓慢，绩效管理人员的业务水平不高。下一步改进措施：一是建立和完善部门整体支出绩效考评实施细则，提高绩效预算管理水平；二是.科学合理地设置绩效指标，提高预算绩效指标的针对性和可测性，充分发挥预算绩效目标管理的导向作用。八大集镇环境整治项目绩效自评情况：根据年初设定的绩效目标,项目绩效自评得分为90分。项目全年预算数为1291.81万元,执行数为1291.81万元,完成预算的100%。项目绩效目标完成情况：一是各项工作完成及时，社会影响度提高；二是在能力建设方面，单位的长效管理，信息化建设完备。发现的主要问题及原因：一是部分指标设置还需进一步细化；二是绩效管理人员的业务水平不高。下一步改进措施：一是提高绩效预算管理水平；二是提高预算绩效指标的针对性和可测性。东乡县县城维护及建设费项目绩效自评情况：根据年初设定的绩效目标,项目绩效自评得分为90分。项目全年预算数为655万元,执行数为655万元,完成预算的100%。项目绩效目标完成情况：一是财务管理规范健全，政府采购流程规范健全；二是各项工作完成及时，社会影响度提高。发现的主要问题及原因：一是部分产岀指标设定过于简单；二是指标设置还需进一步细化。下一步改进措施：一是建立和完善部门整体支出绩效考评实施细则；二是提高绩效预算管理水平。</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left"/>
        <w:textAlignment w:val="auto"/>
        <w:rPr>
          <w:rFonts w:hint="eastAsia" w:ascii="仿宋" w:hAnsi="仿宋" w:eastAsia="仿宋" w:cs="仿宋"/>
          <w:color w:val="000000"/>
          <w:spacing w:val="0"/>
          <w:w w:val="100"/>
          <w:kern w:val="0"/>
          <w:position w:val="0"/>
          <w:sz w:val="32"/>
          <w:szCs w:val="32"/>
          <w:u w:val="none"/>
          <w:shd w:val="clear" w:color="auto" w:fill="auto"/>
          <w:lang w:val="zh-TW" w:eastAsia="zh-CN" w:bidi="zh-TW"/>
        </w:rPr>
      </w:pPr>
      <w:r>
        <w:rPr>
          <w:rFonts w:hint="default" w:ascii="仿宋" w:hAnsi="仿宋" w:eastAsia="仿宋" w:cs="仿宋"/>
          <w:color w:val="000000"/>
          <w:spacing w:val="0"/>
          <w:w w:val="100"/>
          <w:kern w:val="0"/>
          <w:position w:val="0"/>
          <w:sz w:val="32"/>
          <w:szCs w:val="32"/>
          <w:u w:val="none"/>
          <w:shd w:val="clear" w:color="auto" w:fill="auto"/>
          <w:lang w:val="zh-TW" w:eastAsia="zh-TW" w:bidi="zh-TW"/>
        </w:rPr>
        <w:t>2022年度我局绩效目标完成情况较好，部门整体支出绩效评价良好，还有不足，需要完善。</w:t>
      </w:r>
      <w:r>
        <w:rPr>
          <w:rFonts w:hint="eastAsia" w:ascii="仿宋" w:hAnsi="仿宋" w:eastAsia="仿宋" w:cs="仿宋"/>
          <w:color w:val="000000"/>
          <w:spacing w:val="0"/>
          <w:w w:val="100"/>
          <w:kern w:val="0"/>
          <w:position w:val="0"/>
          <w:sz w:val="32"/>
          <w:szCs w:val="32"/>
          <w:u w:val="none"/>
          <w:shd w:val="clear" w:color="auto" w:fill="auto"/>
          <w:lang w:val="en-US" w:eastAsia="zh-CN" w:bidi="zh-TW"/>
        </w:rPr>
        <w:t>通过评价发现部分产岀指标设定过于简单，指标设置还需进一步细化；工程项目进度缓慢；绩效管理人员的业务水平不高。</w:t>
      </w:r>
      <w:r>
        <w:rPr>
          <w:rFonts w:hint="eastAsia" w:ascii="仿宋" w:hAnsi="仿宋" w:eastAsia="仿宋" w:cs="仿宋"/>
          <w:color w:val="000000"/>
          <w:spacing w:val="0"/>
          <w:w w:val="100"/>
          <w:kern w:val="0"/>
          <w:position w:val="0"/>
          <w:sz w:val="32"/>
          <w:szCs w:val="32"/>
          <w:u w:val="none"/>
          <w:shd w:val="clear" w:color="auto" w:fill="auto"/>
          <w:lang w:val="zh-TW" w:eastAsia="zh-TW" w:bidi="zh-TW"/>
        </w:rPr>
        <w:t>下一步改进措施</w:t>
      </w:r>
      <w:r>
        <w:rPr>
          <w:rFonts w:hint="eastAsia" w:ascii="仿宋" w:hAnsi="仿宋" w:eastAsia="仿宋" w:cs="仿宋"/>
          <w:color w:val="000000"/>
          <w:spacing w:val="0"/>
          <w:w w:val="100"/>
          <w:kern w:val="0"/>
          <w:position w:val="0"/>
          <w:sz w:val="32"/>
          <w:szCs w:val="32"/>
          <w:u w:val="none"/>
          <w:shd w:val="clear" w:color="auto" w:fill="auto"/>
          <w:lang w:val="zh-TW" w:eastAsia="zh-CN" w:bidi="zh-TW"/>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 w:hAnsi="仿宋" w:eastAsia="仿宋" w:cs="仿宋"/>
          <w:color w:val="000000"/>
          <w:spacing w:val="0"/>
          <w:w w:val="100"/>
          <w:kern w:val="0"/>
          <w:position w:val="0"/>
          <w:sz w:val="32"/>
          <w:szCs w:val="32"/>
          <w:u w:val="none"/>
          <w:shd w:val="clear" w:color="auto" w:fill="auto"/>
          <w:lang w:val="zh-TW" w:eastAsia="zh-TW" w:bidi="zh-TW"/>
        </w:rPr>
      </w:pPr>
      <w:r>
        <w:rPr>
          <w:rFonts w:hint="default" w:ascii="仿宋" w:hAnsi="仿宋" w:eastAsia="仿宋" w:cs="仿宋"/>
          <w:color w:val="000000"/>
          <w:spacing w:val="0"/>
          <w:w w:val="100"/>
          <w:kern w:val="0"/>
          <w:position w:val="0"/>
          <w:sz w:val="32"/>
          <w:szCs w:val="32"/>
          <w:u w:val="none"/>
          <w:shd w:val="clear" w:color="auto" w:fill="auto"/>
          <w:lang w:val="zh-TW" w:eastAsia="zh-TW" w:bidi="zh-TW"/>
        </w:rPr>
        <w:t>细化预算编制工作，认真做好预算的编制</w:t>
      </w:r>
      <w:r>
        <w:rPr>
          <w:rFonts w:hint="eastAsia" w:ascii="仿宋" w:hAnsi="仿宋" w:eastAsia="仿宋" w:cs="仿宋"/>
          <w:color w:val="000000"/>
          <w:spacing w:val="0"/>
          <w:w w:val="100"/>
          <w:kern w:val="0"/>
          <w:position w:val="0"/>
          <w:sz w:val="32"/>
          <w:szCs w:val="32"/>
          <w:u w:val="none"/>
          <w:shd w:val="clear" w:color="auto" w:fill="auto"/>
          <w:lang w:val="zh-TW" w:eastAsia="zh-CN" w:bidi="zh-TW"/>
        </w:rPr>
        <w:t>；</w:t>
      </w:r>
      <w:r>
        <w:rPr>
          <w:rFonts w:hint="default" w:ascii="仿宋" w:hAnsi="仿宋" w:eastAsia="仿宋" w:cs="仿宋"/>
          <w:color w:val="000000"/>
          <w:spacing w:val="0"/>
          <w:w w:val="100"/>
          <w:kern w:val="0"/>
          <w:position w:val="0"/>
          <w:sz w:val="32"/>
          <w:szCs w:val="32"/>
          <w:u w:val="none"/>
          <w:shd w:val="clear" w:color="auto" w:fill="auto"/>
          <w:lang w:val="zh-TW" w:eastAsia="zh-TW" w:bidi="zh-TW"/>
        </w:rPr>
        <w:t>加强财务管理，严格财务审核。在费用报账支付时，按照预算规定的费用项目和用途进行资金使用审核、列报支付、财务核算，杜绝超支现象的发生。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 w:hAnsi="仿宋" w:eastAsia="仿宋" w:cs="仿宋"/>
          <w:color w:val="000000"/>
          <w:spacing w:val="0"/>
          <w:w w:val="100"/>
          <w:kern w:val="0"/>
          <w:position w:val="0"/>
          <w:sz w:val="32"/>
          <w:szCs w:val="32"/>
          <w:u w:val="none"/>
          <w:shd w:val="clear" w:color="auto" w:fill="auto"/>
          <w:lang w:val="zh-TW" w:eastAsia="zh-TW" w:bidi="zh-TW"/>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jc w:val="right"/>
        <w:rPr>
          <w:rFonts w:hint="eastAsia" w:ascii="仿宋" w:hAnsi="仿宋" w:eastAsia="仿宋" w:cs="仿宋"/>
          <w:color w:val="000000"/>
          <w:spacing w:val="0"/>
          <w:w w:val="100"/>
          <w:kern w:val="0"/>
          <w:position w:val="0"/>
          <w:sz w:val="32"/>
          <w:szCs w:val="32"/>
          <w:u w:val="none"/>
          <w:shd w:val="clear" w:color="auto" w:fill="auto"/>
          <w:lang w:val="zh-CN" w:eastAsia="zh-CN" w:bidi="zh-TW"/>
        </w:rPr>
      </w:pPr>
      <w:r>
        <w:rPr>
          <w:rFonts w:hint="eastAsia" w:ascii="仿宋" w:hAnsi="仿宋" w:eastAsia="仿宋" w:cs="仿宋"/>
          <w:color w:val="000000"/>
          <w:spacing w:val="0"/>
          <w:w w:val="100"/>
          <w:kern w:val="0"/>
          <w:position w:val="0"/>
          <w:sz w:val="32"/>
          <w:szCs w:val="32"/>
          <w:u w:val="none"/>
          <w:shd w:val="clear" w:color="auto" w:fill="auto"/>
          <w:lang w:val="zh-CN" w:eastAsia="zh-CN" w:bidi="zh-TW"/>
        </w:rPr>
        <w:t>东乡族自治县城市管理综合执法局</w:t>
      </w:r>
    </w:p>
    <w:p>
      <w:pPr>
        <w:pStyle w:val="14"/>
        <w:jc w:val="center"/>
        <w:rPr>
          <w:rFonts w:hint="default" w:ascii="仿宋" w:hAnsi="仿宋" w:eastAsia="仿宋" w:cs="仿宋"/>
          <w:color w:val="000000"/>
          <w:spacing w:val="0"/>
          <w:w w:val="100"/>
          <w:kern w:val="0"/>
          <w:position w:val="0"/>
          <w:sz w:val="32"/>
          <w:szCs w:val="32"/>
          <w:u w:val="none"/>
          <w:shd w:val="clear" w:color="auto" w:fill="auto"/>
          <w:lang w:val="en-US" w:eastAsia="zh-CN" w:bidi="zh-TW"/>
        </w:rPr>
      </w:pPr>
      <w:r>
        <w:rPr>
          <w:rFonts w:hint="eastAsia" w:ascii="仿宋" w:hAnsi="仿宋" w:eastAsia="仿宋" w:cs="仿宋"/>
          <w:color w:val="000000"/>
          <w:spacing w:val="0"/>
          <w:w w:val="100"/>
          <w:kern w:val="0"/>
          <w:position w:val="0"/>
          <w:sz w:val="32"/>
          <w:szCs w:val="32"/>
          <w:u w:val="none"/>
          <w:shd w:val="clear" w:color="auto" w:fill="auto"/>
          <w:lang w:val="en-US" w:eastAsia="zh-CN" w:bidi="zh-TW"/>
        </w:rPr>
        <w:t xml:space="preserve">                   2023年9月25日</w:t>
      </w: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Style w:val="14"/>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5A504"/>
    <w:multiLevelType w:val="singleLevel"/>
    <w:tmpl w:val="B905A50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WMzODcyZGFlOGEyYTA5NWUwODI3NTdkMGM4NDMifQ=="/>
  </w:docVars>
  <w:rsids>
    <w:rsidRoot w:val="00000000"/>
    <w:rsid w:val="02AA4B1F"/>
    <w:rsid w:val="0D386A9E"/>
    <w:rsid w:val="11B25539"/>
    <w:rsid w:val="12A34BDD"/>
    <w:rsid w:val="1AD863F9"/>
    <w:rsid w:val="1AF70734"/>
    <w:rsid w:val="22165ACB"/>
    <w:rsid w:val="27676773"/>
    <w:rsid w:val="29F77523"/>
    <w:rsid w:val="302D2CFD"/>
    <w:rsid w:val="3BC76592"/>
    <w:rsid w:val="46A524E8"/>
    <w:rsid w:val="470E7B71"/>
    <w:rsid w:val="577225C0"/>
    <w:rsid w:val="5D387615"/>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
    <w:name w:val="Body Text Indent 21"/>
    <w:basedOn w:val="1"/>
    <w:qFormat/>
    <w:uiPriority w:val="0"/>
    <w:pPr>
      <w:spacing w:after="120" w:line="480" w:lineRule="auto"/>
      <w:ind w:left="420" w:leftChars="200"/>
    </w:pPr>
    <w:rPr>
      <w:rFonts w:ascii="Calibri" w:hAnsi="Calibri" w:eastAsia="宋体" w:cs="Times New Roman"/>
    </w:rPr>
  </w:style>
  <w:style w:type="paragraph" w:customStyle="1" w:styleId="15">
    <w:name w:val="Body text|1"/>
    <w:basedOn w:val="1"/>
    <w:qFormat/>
    <w:uiPriority w:val="0"/>
    <w:pPr>
      <w:widowControl w:val="0"/>
      <w:shd w:val="clear" w:color="auto" w:fill="auto"/>
      <w:spacing w:line="451"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57</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2023-09-15T03:17:41Z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4835A464B7B6435EB5A57966B8DB3926_13</vt:lpwstr>
  </property>
</Properties>
</file>