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东乡族自治县科学技术局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2024年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单位预算公开情况说明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2024年单位预算公开表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十一、部门管理转移支付表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十二、国有资本经营预算支出情况表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十三、单位整体支出绩效目标表和项目支出绩效目标表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3" w:firstLineChars="200"/>
        <w:textAlignment w:val="auto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一、单位职责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 xml:space="preserve">（1）拟订全县创新驱动发展战略以及科技发展。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（2）统筹推进全县创新体系建设和科技体制改革。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（3）建立统一的科学管理平台和科研项目资金协调、评估、监管机制。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（4）统筹科技创新体系建设，优化科技资源配置。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（5）负责全县引进国外人才和智力工作。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（6）完成县委、县政府和州科学技术局交办的其他任务。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3" w:firstLineChars="200"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本单位下设：办公室、农业企业科技股、综合科技股。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机构无变动。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3" w:firstLineChars="200"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（二）直属事业单位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下设生产力促进中心、外国专家局。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三、单位收支总体情况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按照预算管理有关规定，2024年单位收支包括机关预算和直属单位预算在内的汇总情况。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301.22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单位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3" w:firstLineChars="200"/>
        <w:textAlignment w:val="auto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301.22</w:t>
      </w:r>
      <w:r>
        <w:rPr>
          <w:rFonts w:hint="eastAsia" w:ascii="仿宋_GB2312" w:hAnsi="仿宋" w:eastAsia="仿宋_GB2312"/>
          <w:sz w:val="32"/>
          <w:szCs w:val="32"/>
        </w:rPr>
        <w:t>万元（详见单位预算公开表1,2）。包括：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301.22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政府性基金预算收入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上年结转收入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301.22</w:t>
      </w:r>
      <w:r>
        <w:rPr>
          <w:rFonts w:hint="eastAsia" w:ascii="仿宋_GB2312" w:hAnsi="仿宋" w:eastAsia="仿宋_GB2312"/>
          <w:sz w:val="32"/>
          <w:szCs w:val="32"/>
        </w:rPr>
        <w:t>万元（详见单位预算公开表3）。</w:t>
      </w:r>
      <w:r>
        <w:rPr>
          <w:rStyle w:val="24"/>
          <w:rFonts w:hint="default" w:hAnsi="仿宋"/>
        </w:rPr>
        <w:t>其中：基本支出</w:t>
      </w:r>
      <w:r>
        <w:rPr>
          <w:rStyle w:val="25"/>
          <w:rFonts w:hint="eastAsia" w:ascii="仿宋_GB2312" w:hAnsi="仿宋" w:eastAsia="仿宋_GB2312"/>
          <w:lang w:val="en-US" w:eastAsia="zh-CN"/>
        </w:rPr>
        <w:t>300.31</w:t>
      </w:r>
      <w:r>
        <w:rPr>
          <w:rStyle w:val="24"/>
          <w:rFonts w:hint="default" w:hAnsi="仿宋"/>
        </w:rPr>
        <w:t>万元，占</w:t>
      </w:r>
      <w:r>
        <w:rPr>
          <w:rStyle w:val="24"/>
          <w:rFonts w:hint="eastAsia" w:hAnsi="仿宋" w:eastAsia="仿宋_GB2312"/>
          <w:lang w:val="en-US" w:eastAsia="zh-CN"/>
        </w:rPr>
        <w:t>99</w:t>
      </w:r>
      <w:r>
        <w:rPr>
          <w:rStyle w:val="25"/>
          <w:rFonts w:hint="eastAsia" w:ascii="仿宋_GB2312" w:hAnsi="仿宋" w:eastAsia="仿宋_GB2312"/>
        </w:rPr>
        <w:t>%</w:t>
      </w:r>
      <w:r>
        <w:rPr>
          <w:rStyle w:val="24"/>
          <w:rFonts w:hint="default" w:hAnsi="仿宋"/>
        </w:rPr>
        <w:t>；项目支出</w:t>
      </w:r>
      <w:r>
        <w:rPr>
          <w:rStyle w:val="24"/>
          <w:rFonts w:hint="eastAsia" w:hAnsi="仿宋" w:eastAsia="仿宋_GB2312"/>
          <w:lang w:val="en-US" w:eastAsia="zh-CN"/>
        </w:rPr>
        <w:t>0.91</w:t>
      </w:r>
      <w:r>
        <w:rPr>
          <w:rStyle w:val="24"/>
          <w:rFonts w:hint="default" w:hAnsi="仿宋"/>
        </w:rPr>
        <w:t>万元，占</w:t>
      </w:r>
      <w:r>
        <w:rPr>
          <w:rStyle w:val="25"/>
          <w:rFonts w:hint="eastAsia" w:ascii="仿宋_GB2312" w:hAnsi="仿宋" w:eastAsia="仿宋_GB2312"/>
          <w:lang w:val="en-US" w:eastAsia="zh-CN"/>
        </w:rPr>
        <w:t>1</w:t>
      </w:r>
      <w:r>
        <w:rPr>
          <w:rStyle w:val="25"/>
          <w:rFonts w:hint="eastAsia" w:ascii="仿宋_GB2312" w:hAnsi="仿宋" w:eastAsia="仿宋_GB2312"/>
        </w:rPr>
        <w:t>%</w:t>
      </w:r>
      <w:r>
        <w:rPr>
          <w:rStyle w:val="24"/>
          <w:rFonts w:hint="default" w:hAnsi="仿宋"/>
        </w:rPr>
        <w:t>；上年结转</w:t>
      </w:r>
      <w:r>
        <w:rPr>
          <w:rStyle w:val="25"/>
          <w:rFonts w:hint="eastAsia" w:ascii="仿宋_GB2312" w:hAnsi="仿宋" w:eastAsia="仿宋_GB2312"/>
          <w:lang w:val="en-US" w:eastAsia="zh-CN"/>
        </w:rPr>
        <w:t>0</w:t>
      </w:r>
      <w:r>
        <w:rPr>
          <w:rStyle w:val="24"/>
          <w:rFonts w:hint="default" w:hAnsi="仿宋"/>
        </w:rPr>
        <w:t>万元</w:t>
      </w:r>
      <w:r>
        <w:rPr>
          <w:rStyle w:val="24"/>
          <w:rFonts w:hint="eastAsia" w:hAnsi="仿宋" w:eastAsia="仿宋_GB2312"/>
          <w:lang w:eastAsia="zh-CN"/>
        </w:rPr>
        <w:t>，</w:t>
      </w:r>
      <w:r>
        <w:rPr>
          <w:rStyle w:val="24"/>
          <w:rFonts w:hint="default" w:hAnsi="仿宋"/>
        </w:rPr>
        <w:t>占</w:t>
      </w:r>
      <w:r>
        <w:rPr>
          <w:rStyle w:val="25"/>
          <w:rFonts w:hint="eastAsia" w:ascii="仿宋_GB2312" w:hAnsi="仿宋" w:eastAsia="仿宋_GB2312"/>
          <w:lang w:val="en-US" w:eastAsia="zh-CN"/>
        </w:rPr>
        <w:t>0</w:t>
      </w:r>
      <w:r>
        <w:rPr>
          <w:rStyle w:val="25"/>
          <w:rFonts w:hint="eastAsia" w:ascii="仿宋_GB2312" w:hAnsi="仿宋" w:eastAsia="仿宋_GB2312"/>
        </w:rPr>
        <w:t>%</w:t>
      </w:r>
      <w:r>
        <w:rPr>
          <w:rStyle w:val="24"/>
          <w:rFonts w:hint="default" w:hAnsi="仿宋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Style w:val="25"/>
          <w:rFonts w:hint="eastAsia" w:ascii="仿宋_GB2312" w:hAnsi="仿宋" w:eastAsia="仿宋_GB2312"/>
        </w:rPr>
        <w:t>2024</w:t>
      </w:r>
      <w:r>
        <w:rPr>
          <w:rStyle w:val="24"/>
          <w:rFonts w:hint="default" w:hAnsi="仿宋"/>
        </w:rPr>
        <w:t>年一般公共预算当年支出</w:t>
      </w:r>
      <w:r>
        <w:rPr>
          <w:rStyle w:val="25"/>
          <w:rFonts w:hint="eastAsia" w:ascii="仿宋_GB2312" w:hAnsi="仿宋" w:eastAsia="仿宋_GB2312"/>
          <w:lang w:val="en-US" w:eastAsia="zh-CN"/>
        </w:rPr>
        <w:t>301.22</w:t>
      </w:r>
      <w:r>
        <w:rPr>
          <w:rStyle w:val="24"/>
          <w:rFonts w:hint="default" w:hAnsi="仿宋"/>
        </w:rPr>
        <w:t>万元，包括：一般公共服务支出</w:t>
      </w:r>
      <w:r>
        <w:rPr>
          <w:rStyle w:val="25"/>
          <w:rFonts w:hint="eastAsia" w:ascii="仿宋_GB2312" w:hAnsi="仿宋" w:eastAsia="仿宋_GB2312"/>
          <w:lang w:val="en-US" w:eastAsia="zh-CN"/>
        </w:rPr>
        <w:t>3.48</w:t>
      </w:r>
      <w:r>
        <w:rPr>
          <w:rStyle w:val="24"/>
          <w:rFonts w:hint="default" w:hAnsi="仿宋"/>
        </w:rPr>
        <w:t>万元、公共安全支出</w:t>
      </w:r>
      <w:r>
        <w:rPr>
          <w:rStyle w:val="25"/>
          <w:rFonts w:hint="eastAsia" w:ascii="仿宋_GB2312" w:hAnsi="仿宋" w:eastAsia="仿宋_GB2312"/>
          <w:lang w:val="en-US" w:eastAsia="zh-CN"/>
        </w:rPr>
        <w:t>0</w:t>
      </w:r>
      <w:r>
        <w:rPr>
          <w:rStyle w:val="24"/>
          <w:rFonts w:hint="default" w:hAnsi="仿宋"/>
        </w:rPr>
        <w:t>万元、教育支出</w:t>
      </w:r>
      <w:r>
        <w:rPr>
          <w:rStyle w:val="25"/>
          <w:rFonts w:hint="eastAsia" w:ascii="仿宋_GB2312" w:hAnsi="仿宋" w:eastAsia="仿宋_GB2312"/>
          <w:lang w:val="en-US" w:eastAsia="zh-CN"/>
        </w:rPr>
        <w:t>0</w:t>
      </w:r>
      <w:r>
        <w:rPr>
          <w:rStyle w:val="24"/>
          <w:rFonts w:hint="default" w:hAnsi="仿宋"/>
        </w:rPr>
        <w:t>万元、科学技术支出</w:t>
      </w:r>
      <w:r>
        <w:rPr>
          <w:rStyle w:val="25"/>
          <w:rFonts w:hint="eastAsia" w:ascii="仿宋_GB2312" w:hAnsi="仿宋" w:eastAsia="仿宋_GB2312"/>
          <w:lang w:val="en-US" w:eastAsia="zh-CN"/>
        </w:rPr>
        <w:t>232.33</w:t>
      </w:r>
      <w:r>
        <w:rPr>
          <w:rStyle w:val="24"/>
          <w:rFonts w:hint="default" w:hAnsi="仿宋"/>
        </w:rPr>
        <w:t>万元、社会保障和就业支出</w:t>
      </w:r>
      <w:r>
        <w:rPr>
          <w:rStyle w:val="25"/>
          <w:rFonts w:hint="eastAsia" w:ascii="仿宋_GB2312" w:hAnsi="仿宋" w:eastAsia="仿宋_GB2312"/>
          <w:lang w:val="en-US" w:eastAsia="zh-CN"/>
        </w:rPr>
        <w:t>28.74</w:t>
      </w:r>
      <w:r>
        <w:rPr>
          <w:rStyle w:val="24"/>
          <w:rFonts w:hint="default" w:hAnsi="仿宋"/>
        </w:rPr>
        <w:t>万元、</w:t>
      </w:r>
      <w:r>
        <w:rPr>
          <w:rStyle w:val="24"/>
          <w:rFonts w:hint="eastAsia" w:hAnsi="仿宋" w:eastAsia="仿宋_GB2312"/>
          <w:lang w:eastAsia="zh-CN"/>
        </w:rPr>
        <w:t>卫生健康</w:t>
      </w:r>
      <w:r>
        <w:rPr>
          <w:rStyle w:val="24"/>
          <w:rFonts w:hint="default" w:hAnsi="仿宋"/>
        </w:rPr>
        <w:t>支出</w:t>
      </w:r>
      <w:r>
        <w:rPr>
          <w:rStyle w:val="24"/>
          <w:rFonts w:hint="eastAsia" w:hAnsi="仿宋" w:eastAsia="仿宋_GB2312"/>
          <w:lang w:val="en-US" w:eastAsia="zh-CN"/>
        </w:rPr>
        <w:t>15.39万元、</w:t>
      </w:r>
      <w:r>
        <w:rPr>
          <w:rStyle w:val="24"/>
          <w:rFonts w:hint="default" w:hAnsi="仿宋"/>
        </w:rPr>
        <w:t>住房保障支出</w:t>
      </w:r>
      <w:r>
        <w:rPr>
          <w:rStyle w:val="24"/>
          <w:rFonts w:hint="eastAsia" w:hAnsi="仿宋" w:eastAsia="仿宋_GB2312"/>
          <w:lang w:val="en-US" w:eastAsia="zh-CN"/>
        </w:rPr>
        <w:t>21.29万元</w:t>
      </w:r>
      <w:r>
        <w:rPr>
          <w:rStyle w:val="24"/>
          <w:rFonts w:hint="default" w:hAnsi="仿宋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301.22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35.83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13.97</w:t>
      </w:r>
      <w:r>
        <w:rPr>
          <w:rFonts w:hint="eastAsia" w:ascii="仿宋_GB2312" w:hAnsi="仿宋" w:eastAsia="仿宋_GB2312"/>
          <w:sz w:val="32"/>
          <w:szCs w:val="32"/>
        </w:rPr>
        <w:t xml:space="preserve"> %，增长的主要原因是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人员工资和项目增加。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279.40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万元，主要包括：基本工资、津贴补贴、奖金、绩效工资、机关事业单位基本养老保险缴费、职工基本医疗保险缴费、公务员医疗补助缴费、其他社会保障缴费、住房公积金。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20.91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万元，主要包括：办公费、水费、电费、邮电费、取暖费、差旅费、工会经费、其他交通费用、办公设备购置、专用设备购置等。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0.91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0.91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 %，增长的主要原因是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机关单位天然气费列入单独预算。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个，主要是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机关单位天然气费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1</w:t>
      </w:r>
      <w:r>
        <w:rPr>
          <w:rFonts w:hint="eastAsia" w:ascii="仿宋_GB2312" w:hAnsi="TimesNewRomanPS-BoldMT" w:eastAsia="仿宋_GB2312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支出</w:t>
      </w:r>
      <w:r>
        <w:rPr>
          <w:rFonts w:hint="eastAsia" w:ascii="仿宋_GB2312" w:eastAsia="仿宋_GB2312"/>
          <w:color w:val="000000"/>
          <w:sz w:val="32"/>
          <w:szCs w:val="32"/>
        </w:rPr>
        <w:t>（类）群众团体事务（款）工会事务（项）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2024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3.48</w:t>
      </w:r>
      <w:r>
        <w:rPr>
          <w:rFonts w:hint="eastAsia" w:ascii="仿宋_GB2312" w:eastAsia="仿宋_GB2312"/>
          <w:color w:val="000000"/>
          <w:sz w:val="32"/>
          <w:szCs w:val="32"/>
        </w:rPr>
        <w:t>万元，比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年预算增加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0.38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万元，主要原因是一般公共服务（类）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中支出为工会经费，增长原因是工资增加工会经费比例增加。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80" w:lineRule="exact"/>
        <w:ind w:left="0" w:leftChars="0" w:right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科学技术支出</w:t>
      </w:r>
      <w:r>
        <w:rPr>
          <w:rFonts w:hint="eastAsia" w:ascii="仿宋_GB2312" w:eastAsia="仿宋_GB2312"/>
          <w:color w:val="000000"/>
          <w:sz w:val="32"/>
          <w:szCs w:val="32"/>
        </w:rPr>
        <w:t>（类）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科学技术</w:t>
      </w:r>
      <w:r>
        <w:rPr>
          <w:rFonts w:hint="eastAsia" w:ascii="仿宋_GB2312" w:eastAsia="仿宋_GB2312"/>
          <w:color w:val="000000"/>
          <w:sz w:val="32"/>
          <w:szCs w:val="32"/>
        </w:rPr>
        <w:t>事务（款）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行政运行</w:t>
      </w:r>
      <w:r>
        <w:rPr>
          <w:rFonts w:hint="eastAsia" w:ascii="仿宋_GB2312" w:eastAsia="仿宋_GB2312"/>
          <w:color w:val="000000"/>
          <w:sz w:val="32"/>
          <w:szCs w:val="32"/>
        </w:rPr>
        <w:t>（项）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2024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232.33</w:t>
      </w:r>
      <w:r>
        <w:rPr>
          <w:rFonts w:hint="eastAsia" w:ascii="仿宋_GB2312" w:eastAsia="仿宋_GB2312"/>
          <w:color w:val="000000"/>
          <w:sz w:val="32"/>
          <w:szCs w:val="32"/>
        </w:rPr>
        <w:t>万元，比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年预算增加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38.77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万元，主要原因是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人员工资增加。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.社会保障和就业支出（类）行政事业单位养老支出（款）机关事业单位基本养老保险缴费支出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2024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28.74</w:t>
      </w:r>
      <w:r>
        <w:rPr>
          <w:rFonts w:hint="eastAsia" w:ascii="仿宋_GB2312" w:eastAsia="仿宋_GB2312"/>
          <w:color w:val="000000"/>
          <w:sz w:val="32"/>
          <w:szCs w:val="32"/>
        </w:rPr>
        <w:t>万元，比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年预算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1.52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万元，主要原因是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预算决算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卫生健康支出（类）财政对基本医疗保险基金的补助（款）财政对职工基本医疗保险基金的补助（项）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2024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15.39</w:t>
      </w:r>
      <w:r>
        <w:rPr>
          <w:rFonts w:hint="eastAsia" w:ascii="仿宋_GB2312" w:eastAsia="仿宋_GB2312"/>
          <w:color w:val="000000"/>
          <w:sz w:val="32"/>
          <w:szCs w:val="32"/>
        </w:rPr>
        <w:t>万元，比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年预算增加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4.83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万元，主要原因是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增加了</w:t>
      </w:r>
      <w:r>
        <w:rPr>
          <w:rFonts w:hint="eastAsia" w:ascii="仿宋_GB2312" w:eastAsia="仿宋_GB2312"/>
          <w:color w:val="000000"/>
          <w:sz w:val="32"/>
          <w:szCs w:val="32"/>
        </w:rPr>
        <w:t>财政对职工基本医疗保险基金的补助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default" w:ascii="仿宋_GB2312" w:hAnsi="黑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住房保障支出（类）住房改革支出（款）住房公积金（项）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2024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21.29</w:t>
      </w:r>
      <w:r>
        <w:rPr>
          <w:rFonts w:hint="eastAsia" w:ascii="仿宋_GB2312" w:eastAsia="仿宋_GB2312"/>
          <w:color w:val="000000"/>
          <w:sz w:val="32"/>
          <w:szCs w:val="32"/>
        </w:rPr>
        <w:t>万元，比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年预算增加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2.4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万元，主要原因是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增加了</w:t>
      </w:r>
      <w:r>
        <w:rPr>
          <w:rFonts w:hint="eastAsia" w:ascii="仿宋_GB2312" w:eastAsia="仿宋_GB2312"/>
          <w:color w:val="000000"/>
          <w:sz w:val="32"/>
          <w:szCs w:val="32"/>
        </w:rPr>
        <w:t>住房公积金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方面的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五、单位一般公共预算财政拨款“三公”经费、培训费、会议费等情况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无变化。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因公出国（境）费用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无变化。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无变化。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万元（其中：公务用车购置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万元），较2023年预算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20.91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2.41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13.02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经费增加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2024年，单位政府采购预算总额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0.92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0.92</w:t>
      </w:r>
      <w:r>
        <w:rPr>
          <w:rFonts w:hint="eastAsia" w:ascii="仿宋_GB2312" w:hAnsi="仿宋" w:eastAsia="仿宋_GB2312"/>
          <w:sz w:val="32"/>
          <w:szCs w:val="32"/>
        </w:rPr>
        <w:t>万元，政府采购工程预算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2024年，单位面向中小企业预留政府采购项目预算金额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万元，小微企业预留政府采购项目预算金额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0.92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145511</w:t>
      </w:r>
      <w:r>
        <w:rPr>
          <w:rFonts w:hint="eastAsia" w:ascii="仿宋_GB2312" w:hAnsi="仿宋" w:eastAsia="仿宋_GB2312"/>
          <w:sz w:val="32"/>
          <w:szCs w:val="32"/>
        </w:rPr>
        <w:t>万元。其中：办公用房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平方米，价值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万元。预算单位共有公务用车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辆，价值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万元。单价20万元以上的设备价值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万元。2024年拟采购固定资产约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0.19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" w:eastAsia="仿宋_GB2312"/>
          <w:sz w:val="32"/>
          <w:szCs w:val="32"/>
        </w:rPr>
        <w:t>未安排预算，政府性基金预算支出情况表为空表。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本单位2024年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024年县直机关天然气取暖费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1、项目概况：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天然气取暖费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2、立项依据：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instrText xml:space="preserve"> HYPERLINK "http://10.89.6.10:50001/pay-voucher-web/record/javascript:void(0)" \o "东财预[2024]1号" </w:instrTex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东财预[2024]1号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3、实施主体：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东乡县科技局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4、实施周期：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5、实施计划：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按单位运转要求实施。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6、年度预算安排：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7、预期总体目标：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保障单位取暖。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（四）部门管理转移支付情况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未安排预算，单位管理转移支付表为空表。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（五）国有资本经营预算支出情况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未安排预算，国有资本经营预算支出情况表为空表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个，占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通过评价发现部分产岀指标设定过于简单，指标设置还需进一步细化</w:t>
      </w:r>
      <w:r>
        <w:rPr>
          <w:rFonts w:hint="eastAsia" w:ascii="仿宋_GB2312" w:hAnsi="仿宋" w:eastAsia="仿宋_GB2312"/>
          <w:sz w:val="32"/>
          <w:szCs w:val="32"/>
        </w:rPr>
        <w:t>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个，占本单位项目的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%。截至10月底，如期完成预算执行和绩效目标指标值的项目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绩效管理人员的业务水平不高</w:t>
      </w:r>
      <w:r>
        <w:rPr>
          <w:rFonts w:hint="eastAsia" w:ascii="仿宋_GB2312" w:hAnsi="仿宋" w:eastAsia="仿宋_GB2312"/>
          <w:sz w:val="32"/>
          <w:szCs w:val="32"/>
        </w:rPr>
        <w:t>。绩效运行监控在部门内部通报整改情况：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加强绩效目标管理，提高项目质量。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个，其中，单位整体支出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%。绩效自评结果随部门决算报送财政和随决算公开情况：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2023</w:t>
      </w:r>
      <w:r>
        <w:rPr>
          <w:rFonts w:hint="default" w:ascii="仿宋" w:hAnsi="仿宋" w:eastAsia="仿宋" w:cs="仿宋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年度我局绩效目标完成情况较好，部门整体支出绩效评价良好，还有不足，需要完善。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万元，2024年度增加（减少）部门预算项目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个，增长率/压减率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%。同时对政策和项目资金管理作出调整的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单位预算绩效目标管理的项目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个；项目支出绩效目标围绕成本指标、产出指标、效益指标、满意度指标四个维度，设置二级指标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单位支出预算的组成部分，是各单位为完成其特定的行政任务或事业发展目标，在基本支出预算之外编制的年度项目支出计划。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3" w:firstLineChars="200"/>
        <w:contextualSpacing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/>
        <w:contextualSpacing/>
        <w:jc w:val="right"/>
        <w:textAlignment w:val="auto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/>
        <w:contextualSpacing/>
        <w:jc w:val="center"/>
        <w:textAlignment w:val="auto"/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东乡县科学技术局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/>
        <w:contextualSpacing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  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eastAsia="zh-CN"/>
        </w:rPr>
        <w:t>科技局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2024年预算公开表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1565" w:firstLineChars="500"/>
        <w:contextualSpacing/>
        <w:textAlignment w:val="auto"/>
        <w:rPr>
          <w:w w:val="98"/>
        </w:rPr>
      </w:pPr>
      <w:r>
        <w:rPr>
          <w:rFonts w:hint="eastAsia" w:ascii="仿宋_GB2312" w:hAnsi="宋体" w:eastAsia="仿宋_GB2312" w:cs="宋体"/>
          <w:w w:val="98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w w:val="98"/>
          <w:kern w:val="0"/>
          <w:sz w:val="32"/>
          <w:szCs w:val="32"/>
          <w:lang w:eastAsia="zh-CN"/>
        </w:rPr>
        <w:t>科技局</w:t>
      </w:r>
      <w:r>
        <w:rPr>
          <w:rFonts w:hint="eastAsia" w:ascii="仿宋_GB2312" w:hAnsi="宋体" w:eastAsia="仿宋_GB2312" w:cs="宋体"/>
          <w:w w:val="98"/>
          <w:kern w:val="0"/>
          <w:sz w:val="32"/>
          <w:szCs w:val="32"/>
        </w:rPr>
        <w:t>2024年整体支出绩效目标及预算项目绩效目标表</w:t>
      </w:r>
    </w:p>
    <w:p>
      <w:pPr>
        <w:pStyle w:val="2"/>
        <w:rPr>
          <w:rFonts w:hint="eastAsia"/>
        </w:rPr>
      </w:pPr>
    </w:p>
    <w:p>
      <w:pPr>
        <w:pStyle w:val="2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2CBCAB"/>
    <w:multiLevelType w:val="singleLevel"/>
    <w:tmpl w:val="382CBC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RiZGY3MGZmOTljNmY5YTFjMzczZjA5MTcwNWM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4DF1A8A"/>
    <w:rsid w:val="0B050B74"/>
    <w:rsid w:val="0D9378B6"/>
    <w:rsid w:val="113741D2"/>
    <w:rsid w:val="130152C1"/>
    <w:rsid w:val="137D0DEC"/>
    <w:rsid w:val="151D4080"/>
    <w:rsid w:val="175752A3"/>
    <w:rsid w:val="1CA02D04"/>
    <w:rsid w:val="1D34261E"/>
    <w:rsid w:val="1E797ACA"/>
    <w:rsid w:val="25F10744"/>
    <w:rsid w:val="29B03871"/>
    <w:rsid w:val="29DF6643"/>
    <w:rsid w:val="2AB01BD4"/>
    <w:rsid w:val="37460AB5"/>
    <w:rsid w:val="38C60AC1"/>
    <w:rsid w:val="3CFC0724"/>
    <w:rsid w:val="43D2381A"/>
    <w:rsid w:val="4CD3324F"/>
    <w:rsid w:val="527E074E"/>
    <w:rsid w:val="55BB2AD2"/>
    <w:rsid w:val="56160149"/>
    <w:rsid w:val="579503FF"/>
    <w:rsid w:val="5EBA59F9"/>
    <w:rsid w:val="60535296"/>
    <w:rsid w:val="630730C7"/>
    <w:rsid w:val="6AA33E09"/>
    <w:rsid w:val="70F730E8"/>
    <w:rsid w:val="72FB30AD"/>
    <w:rsid w:val="72FD2525"/>
    <w:rsid w:val="79091C23"/>
    <w:rsid w:val="7B546051"/>
    <w:rsid w:val="7F4B6365"/>
    <w:rsid w:val="7FB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20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autoRedefine/>
    <w:unhideWhenUsed/>
    <w:qFormat/>
    <w:uiPriority w:val="99"/>
    <w:pPr>
      <w:spacing w:after="120" w:afterLines="0" w:line="480" w:lineRule="auto"/>
      <w:ind w:left="420" w:leftChars="200"/>
    </w:pPr>
  </w:style>
  <w:style w:type="paragraph" w:styleId="3">
    <w:name w:val="Body Text"/>
    <w:basedOn w:val="1"/>
    <w:next w:val="4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6">
    <w:name w:val="annotation text"/>
    <w:basedOn w:val="1"/>
    <w:link w:val="22"/>
    <w:autoRedefine/>
    <w:qFormat/>
    <w:uiPriority w:val="0"/>
    <w:pPr>
      <w:jc w:val="left"/>
    </w:pPr>
  </w:style>
  <w:style w:type="paragraph" w:styleId="7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23"/>
    <w:qFormat/>
    <w:uiPriority w:val="0"/>
    <w:rPr>
      <w:b/>
      <w:bCs/>
    </w:rPr>
  </w:style>
  <w:style w:type="character" w:styleId="13">
    <w:name w:val="line number"/>
    <w:autoRedefine/>
    <w:qFormat/>
    <w:uiPriority w:val="0"/>
  </w:style>
  <w:style w:type="character" w:styleId="14">
    <w:name w:val="Hyperlink"/>
    <w:basedOn w:val="12"/>
    <w:semiHidden/>
    <w:unhideWhenUsed/>
    <w:uiPriority w:val="0"/>
    <w:rPr>
      <w:color w:val="0000FF"/>
      <w:u w:val="single"/>
    </w:rPr>
  </w:style>
  <w:style w:type="character" w:styleId="15">
    <w:name w:val="annotation reference"/>
    <w:autoRedefine/>
    <w:qFormat/>
    <w:uiPriority w:val="0"/>
    <w:rPr>
      <w:sz w:val="21"/>
      <w:szCs w:val="21"/>
    </w:rPr>
  </w:style>
  <w:style w:type="character" w:customStyle="1" w:styleId="16">
    <w:name w:val="页脚 Char"/>
    <w:link w:val="8"/>
    <w:qFormat/>
    <w:uiPriority w:val="0"/>
    <w:rPr>
      <w:sz w:val="18"/>
      <w:szCs w:val="18"/>
    </w:rPr>
  </w:style>
  <w:style w:type="character" w:customStyle="1" w:styleId="17">
    <w:name w:val="页眉 Char"/>
    <w:link w:val="9"/>
    <w:uiPriority w:val="0"/>
    <w:rPr>
      <w:sz w:val="18"/>
      <w:szCs w:val="18"/>
    </w:rPr>
  </w:style>
  <w:style w:type="paragraph" w:styleId="18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9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0">
    <w:name w:val="标题 1 Char"/>
    <w:link w:val="5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21">
    <w:name w:val="TOC Heading"/>
    <w:basedOn w:val="5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2">
    <w:name w:val="批注文字 Char"/>
    <w:link w:val="6"/>
    <w:autoRedefine/>
    <w:qFormat/>
    <w:uiPriority w:val="0"/>
    <w:rPr>
      <w:kern w:val="2"/>
      <w:sz w:val="21"/>
      <w:szCs w:val="22"/>
    </w:rPr>
  </w:style>
  <w:style w:type="character" w:customStyle="1" w:styleId="23">
    <w:name w:val="批注主题 Char"/>
    <w:link w:val="10"/>
    <w:uiPriority w:val="0"/>
    <w:rPr>
      <w:b/>
      <w:bCs/>
      <w:kern w:val="2"/>
      <w:sz w:val="21"/>
      <w:szCs w:val="22"/>
    </w:rPr>
  </w:style>
  <w:style w:type="character" w:customStyle="1" w:styleId="24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5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6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7">
    <w:name w:val="fontstyle31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0</TotalTime>
  <ScaleCrop>false</ScaleCrop>
  <LinksUpToDate>false</LinksUpToDate>
  <CharactersWithSpaces>9630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岁月</cp:lastModifiedBy>
  <cp:lastPrinted>2022-02-15T07:45:00Z</cp:lastPrinted>
  <dcterms:modified xsi:type="dcterms:W3CDTF">2024-03-13T02:18:33Z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EDBC32DC911A4E418F65A9E4DB3DBD76_13</vt:lpwstr>
  </property>
</Properties>
</file>