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东乡族自治县干部保健局</w:t>
      </w:r>
      <w:r>
        <w:rPr>
          <w:rFonts w:hint="eastAsia" w:ascii="仿宋_GB2312" w:hAnsi="仿宋_GB2312" w:eastAsia="仿宋_GB2312" w:cs="仿宋_GB2312"/>
          <w:color w:val="000000" w:themeColor="text1"/>
          <w:sz w:val="32"/>
          <w:szCs w:val="32"/>
          <w:lang w:val="zh-CN"/>
          <w14:textFill>
            <w14:solidFill>
              <w14:schemeClr w14:val="tx1"/>
            </w14:solidFill>
          </w14:textFill>
        </w:rPr>
        <w:t>部门（单位）部门决算情况说明</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见附件</w:t>
      </w:r>
      <w:r>
        <w:rPr>
          <w:rFonts w:hint="eastAsia" w:ascii="仿宋_GB2312" w:hAnsi="仿宋_GB2312" w:eastAsia="仿宋_GB2312" w:cs="仿宋_GB2312"/>
          <w:b/>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bookmarkStart w:id="0" w:name="_GoBack"/>
      <w:bookmarkEnd w:id="0"/>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b/>
          <w:color w:val="000000" w:themeColor="text1"/>
          <w:sz w:val="32"/>
          <w:szCs w:val="32"/>
          <w:lang w:val="zh-CN"/>
          <w14:textFill>
            <w14:solidFill>
              <w14:schemeClr w14:val="tx1"/>
            </w14:solidFill>
          </w14:textFill>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拟定全</w:t>
      </w:r>
      <w:r>
        <w:rPr>
          <w:rFonts w:hint="eastAsia" w:ascii="仿宋_GB2312" w:eastAsia="仿宋_GB2312"/>
          <w:color w:val="000000" w:themeColor="text1"/>
          <w:sz w:val="30"/>
          <w:szCs w:val="30"/>
          <w:lang w:val="en-US" w:eastAsia="zh-CN"/>
          <w14:textFill>
            <w14:solidFill>
              <w14:schemeClr w14:val="tx1"/>
            </w14:solidFill>
          </w14:textFill>
        </w:rPr>
        <w:t>县</w:t>
      </w:r>
      <w:r>
        <w:rPr>
          <w:rFonts w:hint="eastAsia" w:ascii="仿宋_GB2312" w:eastAsia="仿宋_GB2312"/>
          <w:color w:val="000000" w:themeColor="text1"/>
          <w:sz w:val="30"/>
          <w:szCs w:val="30"/>
          <w14:textFill>
            <w14:solidFill>
              <w14:schemeClr w14:val="tx1"/>
            </w14:solidFill>
          </w14:textFill>
        </w:rPr>
        <w:t>干部保健工作计划，并组织实施；负责市级保健对象的日常保健服务、健康年检、预防接种、健康教育、健康行为干预及医疗诊治工作；组建干部保健医疗专家组和高级护理组，定期开展领导干部健康检查，建立干部健康档案；参与干部保健基地建设和管理，健全和完善各项规章制度，提高医疗保健工作水平；参与全市重要会议、重大活动及重要接待任务的医疗保健服务。</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一级预算单位1个, 执行政府会计制度的单位</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13个事业编制，下设办公室、干部保健股</w:t>
      </w:r>
      <w:r>
        <w:rPr>
          <w:rFonts w:hint="eastAsia" w:ascii="仿宋_GB2312" w:eastAsia="仿宋_GB2312"/>
          <w:color w:val="000000" w:themeColor="text1"/>
          <w:sz w:val="30"/>
          <w:szCs w:val="30"/>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收入总计1,750,497.12元，支出总计1,750,497.12元，与2021年决算数相比，收入增加323266.4元，增长22.65%，支出增加323266.4元，增长22.65%。主要原因是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人员变动工资基数增加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2022年度收入合计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1750.049712</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1750.049712</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上级补助</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事业</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经营</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附属单位上缴</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其他</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1750.049712</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1750.049712</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%；上缴上级支出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%；经营支出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%；对附属单位补助支出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年度财政拨款收入</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1,750,497.12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323266.4元，增长22.65%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人员变动工资基数增加。</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1,750,497.12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323266.4元，增长22.65%</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人员变动工资基数增加</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1750.049712</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323266.4元，增长22.65%</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人员变动工资基数增加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1.一般公共服务支出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8096万元,支出决算为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%,决算数小于预算数的主要原因是一般公共服务支出未开支。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lang w:val="zh-CN"/>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14.65776</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14.4768</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101.25</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%,决算数大于预算数的主要原因是人员变动基数增加。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lang w:val="zh-CN"/>
          <w14:textFill>
            <w14:solidFill>
              <w14:schemeClr w14:val="tx1"/>
            </w14:solidFill>
          </w14:textFill>
        </w:rPr>
        <w:t>.卫生健康支出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13.55153</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144.952712</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106.96</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%,决算数大于预算数的主要原因是人员变动基数增加及经费支出增加。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lang w:val="zh-CN"/>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10.8576</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11.2202</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103.34</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%,决算数大于预算数的主要原因是人员工资变动基数增加。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175.049712</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166.407912</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万元,较上年决算数增加30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584288万元,增长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22.52</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%,主要原因是人员变动及工资基数增加。人员经费用途主要包括基本工资、津贴补贴、奖金、社会保障缴费。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8.6418</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742352万元,增加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25.25</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%,主要原因是上年结转开支及全县干部体检经费增加。公用经费用途主要包括办公费、印刷费、咨询费、手续费。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8.6418</w:t>
      </w:r>
      <w:r>
        <w:rPr>
          <w:rFonts w:hint="eastAsia" w:ascii="仿宋_GB2312" w:hAnsi="仿宋_GB2312" w:eastAsia="仿宋_GB2312" w:cs="仿宋_GB2312"/>
          <w:color w:val="000000" w:themeColor="text1"/>
          <w:sz w:val="32"/>
          <w:szCs w:val="32"/>
          <w:lang w:val="zh-CN"/>
          <w14:textFill>
            <w14:solidFill>
              <w14:schemeClr w14:val="tx1"/>
            </w14:solidFill>
          </w14:textFill>
        </w:rPr>
        <w:t>万元,机关运行经费主要用于开支办公费、印刷费、咨询费、手续费。机关运行经费较上年决算数增加1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742352万元,增加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25.25</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%,主要原因是上年结转开支及全县干部体检经费增加。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本年度会议费支出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%。本年度培训费支出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九</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截至2022年12月31日,本部门共有车辆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辆,其中,副部(省)级及以上领导用车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辆、主要领导干部用车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辆、机要通信用车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辆、应急保障用车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辆、执法执勤用车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辆,特种专业技术用车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辆,离退休干部用车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w:t>
      </w:r>
      <w:r>
        <w:rPr>
          <w:rFonts w:hint="eastAsia" w:ascii="仿宋_GB2312" w:hAnsi="仿宋_GB2312" w:eastAsia="仿宋_GB2312" w:cs="仿宋_GB2312"/>
          <w:color w:val="000000" w:themeColor="text1"/>
          <w:sz w:val="32"/>
          <w:szCs w:val="32"/>
          <w:lang w:val="zh-CN"/>
          <w14:textFill>
            <w14:solidFill>
              <w14:schemeClr w14:val="tx1"/>
            </w14:solidFill>
          </w14:textFill>
        </w:rPr>
        <w:t>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000000" w:themeColor="text1"/>
          <w:kern w:val="2"/>
          <w:sz w:val="2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w:t>
      </w:r>
      <w:r>
        <w:rPr>
          <w:rFonts w:hint="eastAsia" w:ascii="仿宋_GB2312" w:hAnsi="仿宋_GB2312" w:eastAsia="仿宋_GB2312" w:cs="仿宋_GB2312"/>
          <w:b/>
          <w:color w:val="000000" w:themeColor="text1"/>
          <w:sz w:val="32"/>
          <w:szCs w:val="32"/>
          <w:lang w:val="en-US"/>
          <w14:textFill>
            <w14:solidFill>
              <w14:schemeClr w14:val="tx1"/>
            </w14:solidFill>
          </w14:textFill>
        </w:rPr>
        <w:t>一</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w:t>
      </w:r>
      <w:r>
        <w:rPr>
          <w:rFonts w:hint="eastAsia" w:ascii="仿宋_GB2312" w:hAnsi="仿宋_GB2312" w:eastAsia="仿宋_GB2312" w:cs="仿宋_GB2312"/>
          <w:color w:val="000000" w:themeColor="text1"/>
          <w:sz w:val="32"/>
          <w:szCs w:val="32"/>
          <w:lang w:val="zh-CN"/>
          <w14:textFill>
            <w14:solidFill>
              <w14:schemeClr w14:val="tx1"/>
            </w14:solidFill>
          </w14:textFill>
        </w:rPr>
        <w:t>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十二</w:t>
      </w:r>
      <w:r>
        <w:rPr>
          <w:rFonts w:hint="eastAsia" w:ascii="仿宋_GB2312" w:hAnsi="仿宋_GB2312" w:eastAsia="仿宋_GB2312" w:cs="仿宋_GB2312"/>
          <w:b/>
          <w:color w:val="000000" w:themeColor="text1"/>
          <w:sz w:val="32"/>
          <w:szCs w:val="32"/>
          <w:lang w:val="zh-CN"/>
          <w14:textFill>
            <w14:solidFill>
              <w14:schemeClr w14:val="tx1"/>
            </w14:solidFill>
          </w14:textFill>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二级事业单位</w:t>
      </w:r>
      <w:r>
        <w:rPr>
          <w:rFonts w:hint="eastAsia" w:ascii="仿宋_GB2312" w:hAnsi="仿宋_GB2312" w:eastAsia="仿宋_GB2312" w:cs="仿宋_GB2312"/>
          <w:color w:val="000000" w:themeColor="text1"/>
          <w:sz w:val="32"/>
          <w:szCs w:val="32"/>
          <w:lang w:val="zh-CN"/>
          <w14:textFill>
            <w14:solidFill>
              <w14:schemeClr w14:val="tx1"/>
            </w14:solidFill>
          </w14:textFill>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1.因公出国(境)费用</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2.公务用车购置及运行维护费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其中：公务用车购置费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3.公务接待费</w:t>
      </w:r>
      <w:r>
        <w:rPr>
          <w:rFonts w:hint="eastAsia" w:ascii="仿宋_GB2312" w:hAnsi="仿宋_GB2312" w:eastAsia="仿宋_GB2312" w:cs="仿宋_GB2312"/>
          <w:color w:val="000000" w:themeColor="text1"/>
          <w:sz w:val="32"/>
          <w:szCs w:val="32"/>
          <w:lang w:val="en-US"/>
          <w14:textFill>
            <w14:solidFill>
              <w14:schemeClr w14:val="tx1"/>
            </w14:solidFill>
          </w14:textFill>
        </w:rPr>
        <w:t>全</w:t>
      </w:r>
      <w:r>
        <w:rPr>
          <w:rFonts w:hint="eastAsia" w:ascii="仿宋_GB2312" w:hAnsi="仿宋_GB2312" w:eastAsia="仿宋_GB2312" w:cs="仿宋_GB2312"/>
          <w:color w:val="000000" w:themeColor="text1"/>
          <w:sz w:val="32"/>
          <w:szCs w:val="32"/>
          <w:lang w:val="zh-CN"/>
          <w14:textFill>
            <w14:solidFill>
              <w14:schemeClr w14:val="tx1"/>
            </w14:solidFill>
          </w14:textFill>
        </w:rPr>
        <w:t>年预算数为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w:t>
      </w:r>
      <w:r>
        <w:rPr>
          <w:rFonts w:hint="eastAsia" w:ascii="仿宋_GB2312" w:hAnsi="仿宋_GB2312" w:eastAsia="仿宋_GB2312" w:cs="仿宋_GB2312"/>
          <w:b/>
          <w:color w:val="000000" w:themeColor="text1"/>
          <w:sz w:val="32"/>
          <w:szCs w:val="32"/>
          <w:lang w:val="zh-CN"/>
          <w14:textFill>
            <w14:solidFill>
              <w14:schemeClr w14:val="tx1"/>
            </w14:solidFill>
          </w14:textFill>
        </w:rPr>
        <w:t>因公出国(境)</w:t>
      </w:r>
      <w:r>
        <w:rPr>
          <w:rFonts w:hint="eastAsia" w:ascii="仿宋_GB2312" w:hAnsi="仿宋_GB2312" w:eastAsia="仿宋_GB2312" w:cs="仿宋_GB2312"/>
          <w:color w:val="000000" w:themeColor="text1"/>
          <w:sz w:val="32"/>
          <w:szCs w:val="32"/>
          <w:lang w:val="zh-CN"/>
          <w14:textFill>
            <w14:solidFill>
              <w14:schemeClr w14:val="tx1"/>
            </w14:solidFill>
          </w14:textFill>
        </w:rPr>
        <w:t>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个团组,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公务用车保有量</w:t>
      </w:r>
      <w:r>
        <w:rPr>
          <w:rFonts w:hint="eastAsia" w:ascii="仿宋_GB2312" w:hAnsi="仿宋_GB2312" w:eastAsia="仿宋_GB2312" w:cs="仿宋_GB2312"/>
          <w:color w:val="000000" w:themeColor="text1"/>
          <w:sz w:val="32"/>
          <w:szCs w:val="32"/>
          <w:lang w:val="zh-CN"/>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国内公务接待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人,其中：</w:t>
      </w:r>
      <w:r>
        <w:rPr>
          <w:rFonts w:hint="eastAsia" w:ascii="仿宋_GB2312" w:hAnsi="仿宋_GB2312" w:eastAsia="仿宋_GB2312" w:cs="仿宋_GB2312"/>
          <w:b/>
          <w:color w:val="000000" w:themeColor="text1"/>
          <w:sz w:val="32"/>
          <w:szCs w:val="32"/>
          <w:lang w:val="zh-CN"/>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国(境)外公务接待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960" w:firstLineChars="3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w:t>
      </w:r>
      <w:r>
        <w:rPr>
          <w:rFonts w:hint="eastAsia" w:ascii="仿宋_GB2312" w:hAnsi="仿宋_GB2312" w:eastAsia="仿宋_GB2312" w:cs="仿宋_GB2312"/>
          <w:color w:val="000000" w:themeColor="text1"/>
          <w:sz w:val="32"/>
          <w:szCs w:val="32"/>
          <w:lang w:val="zh-CN"/>
          <w14:textFill>
            <w14:solidFill>
              <w14:schemeClr w14:val="tx1"/>
            </w14:solidFill>
          </w14:textFill>
        </w:rPr>
        <w:t>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2891" w:firstLineChars="900"/>
        <w:jc w:val="both"/>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一、财政拨款收入</w:t>
      </w:r>
      <w:r>
        <w:rPr>
          <w:rFonts w:hint="eastAsia" w:ascii="仿宋_GB2312" w:hAnsi="仿宋_GB2312" w:eastAsia="仿宋_GB2312" w:cs="仿宋_GB2312"/>
          <w:color w:val="000000" w:themeColor="text1"/>
          <w:sz w:val="32"/>
          <w:szCs w:val="32"/>
          <w:lang w:val="zh-CN"/>
          <w14:textFill>
            <w14:solidFill>
              <w14:schemeClr w14:val="tx1"/>
            </w14:solidFill>
          </w14:textFill>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二、事业收入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三、经营收入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四、其他收入</w:t>
      </w:r>
      <w:r>
        <w:rPr>
          <w:rFonts w:hint="eastAsia" w:ascii="仿宋_GB2312" w:hAnsi="仿宋_GB2312" w:eastAsia="仿宋_GB2312" w:cs="仿宋_GB2312"/>
          <w:color w:val="000000" w:themeColor="text1"/>
          <w:sz w:val="32"/>
          <w:szCs w:val="32"/>
          <w:lang w:val="zh-CN"/>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五、年初结转和结余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六、结余分配</w:t>
      </w:r>
      <w:r>
        <w:rPr>
          <w:rFonts w:hint="eastAsia" w:ascii="仿宋_GB2312" w:hAnsi="仿宋_GB2312" w:eastAsia="仿宋_GB2312" w:cs="仿宋_GB2312"/>
          <w:color w:val="000000" w:themeColor="text1"/>
          <w:sz w:val="32"/>
          <w:szCs w:val="32"/>
          <w:lang w:val="zh-CN"/>
          <w14:textFill>
            <w14:solidFill>
              <w14:schemeClr w14:val="tx1"/>
            </w14:solidFill>
          </w14:textFill>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七、年末结转和结余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八、基本支出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九、项目支出</w:t>
      </w:r>
      <w:r>
        <w:rPr>
          <w:rFonts w:hint="eastAsia" w:ascii="仿宋_GB2312" w:hAnsi="仿宋_GB2312" w:eastAsia="仿宋_GB2312" w:cs="仿宋_GB2312"/>
          <w:color w:val="000000" w:themeColor="text1"/>
          <w:sz w:val="32"/>
          <w:szCs w:val="32"/>
          <w:lang w:val="zh-CN"/>
          <w14:textFill>
            <w14:solidFill>
              <w14:schemeClr w14:val="tx1"/>
            </w14:solidFill>
          </w14:textFill>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十、经营支出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十一、“三公”经费</w:t>
      </w:r>
      <w:r>
        <w:rPr>
          <w:rFonts w:hint="eastAsia" w:ascii="仿宋_GB2312" w:hAnsi="仿宋_GB2312" w:eastAsia="仿宋_GB2312" w:cs="仿宋_GB2312"/>
          <w:color w:val="000000" w:themeColor="text1"/>
          <w:sz w:val="32"/>
          <w:szCs w:val="32"/>
          <w:lang w:val="zh-CN"/>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十二、机关运行经费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十三、工资福利支出（支出经济分类科目类级）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十四、商品和服务支出（支出经济分类科目类级）：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十五、对个人和家庭的补助（支出经济分类科目类级）：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十六、其他资本性支出（支出经济分类科目类级）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十七、用事业基金弥补收支差额：</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附件：2022年部门决算报表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2AA4B1F"/>
    <w:rsid w:val="0B996FCB"/>
    <w:rsid w:val="0BB81066"/>
    <w:rsid w:val="0D386A9E"/>
    <w:rsid w:val="11B25539"/>
    <w:rsid w:val="12A34BDD"/>
    <w:rsid w:val="1AD863F9"/>
    <w:rsid w:val="302D2CFD"/>
    <w:rsid w:val="42421633"/>
    <w:rsid w:val="464A6220"/>
    <w:rsid w:val="470E7B71"/>
    <w:rsid w:val="5D387615"/>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4083</Words>
  <Characters>4465</Characters>
  <Lines>0</Lines>
  <Paragraphs>0</Paragraphs>
  <TotalTime>8</TotalTime>
  <ScaleCrop>false</ScaleCrop>
  <LinksUpToDate>false</LinksUpToDate>
  <CharactersWithSpaces>4466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2023-09-21T00:15:05Z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