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东乡族自治县博物馆</w:t>
      </w:r>
      <w:r>
        <w:rPr>
          <w:rFonts w:hint="eastAsia" w:ascii="仿宋_GB2312" w:hAnsi="仿宋_GB2312" w:eastAsia="仿宋_GB2312" w:cs="仿宋_GB2312"/>
          <w:color w:val="000000" w:themeColor="text1"/>
          <w:sz w:val="32"/>
          <w:szCs w:val="32"/>
          <w:lang w:val="zh-CN"/>
          <w14:textFill>
            <w14:solidFill>
              <w14:schemeClr w14:val="tx1"/>
            </w14:solidFill>
          </w14:textFill>
        </w:rPr>
        <w:t>部门决算情况说明</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bookmarkStart w:id="0" w:name="_GoBack"/>
      <w:bookmarkEnd w:id="0"/>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b/>
          <w:color w:val="000000" w:themeColor="text1"/>
          <w:sz w:val="32"/>
          <w:szCs w:val="32"/>
          <w:lang w:val="zh-CN"/>
          <w14:textFill>
            <w14:solidFill>
              <w14:schemeClr w14:val="tx1"/>
            </w14:solidFill>
          </w14:textFill>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spacing w:line="640" w:lineRule="exact"/>
        <w:ind w:firstLine="645"/>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主要职责是：</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一</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贯彻落实党和国家关于科技法律、法规和方针政策，组织实施</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各种</w:t>
      </w:r>
      <w:r>
        <w:rPr>
          <w:rFonts w:hint="eastAsia" w:ascii="仿宋_GB2312" w:hAnsi="宋体" w:eastAsia="仿宋_GB2312" w:cs="宋体"/>
          <w:color w:val="000000" w:themeColor="text1"/>
          <w:kern w:val="0"/>
          <w:sz w:val="32"/>
          <w:szCs w:val="32"/>
          <w:highlight w:val="none"/>
          <w14:textFill>
            <w14:solidFill>
              <w14:schemeClr w14:val="tx1"/>
            </w14:solidFill>
          </w14:textFill>
        </w:rPr>
        <w:t>文化活动</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举办各类展览、讲座、培训等，普及科学文化知识，开展社会教育，提高</w:t>
      </w:r>
      <w:r>
        <w:rPr>
          <w:rFonts w:hint="eastAsia" w:ascii="仿宋_GB2312" w:hAnsi="宋体" w:eastAsia="仿宋_GB2312" w:cs="宋体"/>
          <w:color w:val="000000" w:themeColor="text1"/>
          <w:kern w:val="0"/>
          <w:sz w:val="32"/>
          <w:szCs w:val="32"/>
          <w:highlight w:val="none"/>
          <w14:textFill>
            <w14:solidFill>
              <w14:schemeClr w14:val="tx1"/>
            </w14:solidFill>
          </w14:textFill>
        </w:rPr>
        <w:fldChar w:fldCharType="begin"/>
      </w:r>
      <w:r>
        <w:rPr>
          <w:rFonts w:hint="eastAsia" w:ascii="仿宋_GB2312" w:hAnsi="宋体" w:eastAsia="仿宋_GB2312" w:cs="宋体"/>
          <w:color w:val="000000" w:themeColor="text1"/>
          <w:kern w:val="0"/>
          <w:sz w:val="32"/>
          <w:szCs w:val="32"/>
          <w:highlight w:val="none"/>
          <w14:textFill>
            <w14:solidFill>
              <w14:schemeClr w14:val="tx1"/>
            </w14:solidFill>
          </w14:textFill>
        </w:rPr>
        <w:instrText xml:space="preserve">HYPERLINK "http://baike.baidu.com/view/943497.htm"</w:instrText>
      </w:r>
      <w:r>
        <w:rPr>
          <w:rFonts w:hint="eastAsia" w:ascii="仿宋_GB2312" w:hAnsi="宋体" w:eastAsia="仿宋_GB2312" w:cs="宋体"/>
          <w:color w:val="000000" w:themeColor="text1"/>
          <w:kern w:val="0"/>
          <w:sz w:val="32"/>
          <w:szCs w:val="32"/>
          <w:highlight w:val="none"/>
          <w14:textFill>
            <w14:solidFill>
              <w14:schemeClr w14:val="tx1"/>
            </w14:solidFill>
          </w14:textFill>
        </w:rPr>
        <w:fldChar w:fldCharType="separate"/>
      </w:r>
      <w:r>
        <w:rPr>
          <w:rFonts w:hint="eastAsia" w:ascii="仿宋_GB2312" w:hAnsi="宋体" w:eastAsia="仿宋_GB2312" w:cs="宋体"/>
          <w:color w:val="000000" w:themeColor="text1"/>
          <w:kern w:val="0"/>
          <w:sz w:val="32"/>
          <w:szCs w:val="32"/>
          <w:highlight w:val="none"/>
          <w14:textFill>
            <w14:solidFill>
              <w14:schemeClr w14:val="tx1"/>
            </w14:solidFill>
          </w14:textFill>
        </w:rPr>
        <w:t>群众文化</w:t>
      </w:r>
      <w:r>
        <w:rPr>
          <w:rFonts w:hint="eastAsia" w:ascii="仿宋_GB2312" w:hAnsi="宋体" w:eastAsia="仿宋_GB2312" w:cs="宋体"/>
          <w:color w:val="000000" w:themeColor="text1"/>
          <w:kern w:val="0"/>
          <w:sz w:val="32"/>
          <w:szCs w:val="32"/>
          <w:highlight w:val="none"/>
          <w14:textFill>
            <w14:solidFill>
              <w14:schemeClr w14:val="tx1"/>
            </w14:solidFill>
          </w14:textFill>
        </w:rPr>
        <w:fldChar w:fldCharType="end"/>
      </w:r>
      <w:r>
        <w:rPr>
          <w:rFonts w:hint="eastAsia" w:ascii="仿宋_GB2312" w:hAnsi="宋体" w:eastAsia="仿宋_GB2312" w:cs="宋体"/>
          <w:color w:val="000000" w:themeColor="text1"/>
          <w:kern w:val="0"/>
          <w:sz w:val="32"/>
          <w:szCs w:val="32"/>
          <w:highlight w:val="none"/>
          <w14:textFill>
            <w14:solidFill>
              <w14:schemeClr w14:val="tx1"/>
            </w14:solidFill>
          </w14:textFill>
        </w:rPr>
        <w:t>素质，促进当地精神文明建设。</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二</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负责组织开展流动文化服务</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指导群众业余文艺团队建设，辅导和培训群众文艺骨干。</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三</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组织并指导群众文艺创作，开展群众文化工作理论研究。</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四</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指导本地区老年文化、老年教育、少儿文化工作</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五</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收集、整理、研究</w:t>
      </w:r>
      <w:r>
        <w:rPr>
          <w:rFonts w:hint="eastAsia" w:ascii="仿宋_GB2312" w:hAnsi="宋体" w:eastAsia="仿宋_GB2312" w:cs="宋体"/>
          <w:color w:val="000000" w:themeColor="text1"/>
          <w:kern w:val="0"/>
          <w:sz w:val="32"/>
          <w:szCs w:val="32"/>
          <w:highlight w:val="none"/>
          <w14:textFill>
            <w14:solidFill>
              <w14:schemeClr w14:val="tx1"/>
            </w14:solidFill>
          </w14:textFill>
        </w:rPr>
        <w:fldChar w:fldCharType="begin"/>
      </w:r>
      <w:r>
        <w:rPr>
          <w:rFonts w:hint="eastAsia" w:ascii="仿宋_GB2312" w:hAnsi="宋体" w:eastAsia="仿宋_GB2312" w:cs="宋体"/>
          <w:color w:val="000000" w:themeColor="text1"/>
          <w:kern w:val="0"/>
          <w:sz w:val="32"/>
          <w:szCs w:val="32"/>
          <w:highlight w:val="none"/>
          <w14:textFill>
            <w14:solidFill>
              <w14:schemeClr w14:val="tx1"/>
            </w14:solidFill>
          </w14:textFill>
        </w:rPr>
        <w:instrText xml:space="preserve">HYPERLINK "http://baike.baidu.com/view/11090.htm"</w:instrText>
      </w:r>
      <w:r>
        <w:rPr>
          <w:rFonts w:hint="eastAsia" w:ascii="仿宋_GB2312" w:hAnsi="宋体" w:eastAsia="仿宋_GB2312" w:cs="宋体"/>
          <w:color w:val="000000" w:themeColor="text1"/>
          <w:kern w:val="0"/>
          <w:sz w:val="32"/>
          <w:szCs w:val="32"/>
          <w:highlight w:val="none"/>
          <w14:textFill>
            <w14:solidFill>
              <w14:schemeClr w14:val="tx1"/>
            </w14:solidFill>
          </w14:textFill>
        </w:rPr>
        <w:fldChar w:fldCharType="separate"/>
      </w:r>
      <w:r>
        <w:rPr>
          <w:rFonts w:hint="eastAsia" w:ascii="仿宋_GB2312" w:hAnsi="宋体" w:eastAsia="仿宋_GB2312" w:cs="宋体"/>
          <w:color w:val="000000" w:themeColor="text1"/>
          <w:kern w:val="0"/>
          <w:sz w:val="32"/>
          <w:szCs w:val="32"/>
          <w:highlight w:val="none"/>
          <w14:textFill>
            <w14:solidFill>
              <w14:schemeClr w14:val="tx1"/>
            </w14:solidFill>
          </w14:textFill>
        </w:rPr>
        <w:t>非物质文化遗产</w:t>
      </w:r>
      <w:r>
        <w:rPr>
          <w:rFonts w:hint="eastAsia" w:ascii="仿宋_GB2312" w:hAnsi="宋体" w:eastAsia="仿宋_GB2312" w:cs="宋体"/>
          <w:color w:val="000000" w:themeColor="text1"/>
          <w:kern w:val="0"/>
          <w:sz w:val="32"/>
          <w:szCs w:val="32"/>
          <w:highlight w:val="none"/>
          <w14:textFill>
            <w14:solidFill>
              <w14:schemeClr w14:val="tx1"/>
            </w14:solidFill>
          </w14:textFill>
        </w:rPr>
        <w:fldChar w:fldCharType="end"/>
      </w:r>
      <w:r>
        <w:rPr>
          <w:rFonts w:hint="eastAsia" w:ascii="仿宋_GB2312" w:hAnsi="宋体" w:eastAsia="仿宋_GB2312" w:cs="宋体"/>
          <w:color w:val="000000" w:themeColor="text1"/>
          <w:kern w:val="0"/>
          <w:sz w:val="32"/>
          <w:szCs w:val="32"/>
          <w:highlight w:val="none"/>
          <w14:textFill>
            <w14:solidFill>
              <w14:schemeClr w14:val="tx1"/>
            </w14:solidFill>
          </w14:textFill>
        </w:rPr>
        <w:t>，开展非物质文化遗产的普查、展示、宣传</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传承、保护等工作</w:t>
      </w:r>
      <w:r>
        <w:rPr>
          <w:rFonts w:hint="eastAsia" w:ascii="仿宋_GB2312" w:hAnsi="宋体" w:eastAsia="仿宋_GB2312" w:cs="宋体"/>
          <w:color w:val="000000" w:themeColor="text1"/>
          <w:kern w:val="0"/>
          <w:sz w:val="32"/>
          <w:szCs w:val="32"/>
          <w:highlight w:val="none"/>
          <w14:textFill>
            <w14:solidFill>
              <w14:schemeClr w14:val="tx1"/>
            </w14:solidFill>
          </w14:textFill>
        </w:rPr>
        <w:t>，指导传承人开展传习活动。</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六</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开展对外民间文化交流。</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七</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承办县政府和上级主管部门交办的其它事项。</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spacing w:line="640" w:lineRule="exact"/>
        <w:ind w:firstLine="645"/>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东乡族自治县文化馆为财政一级预算单位，属于财政补助公益一类事业单位，执行政府会计制度。县文化馆隶属于县文体广电和旅游局，</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副科级事业单位，</w:t>
      </w:r>
      <w:r>
        <w:rPr>
          <w:rFonts w:hint="eastAsia" w:ascii="仿宋_GB2312" w:hAnsi="宋体" w:eastAsia="仿宋_GB2312" w:cs="宋体"/>
          <w:color w:val="000000" w:themeColor="text1"/>
          <w:kern w:val="0"/>
          <w:sz w:val="32"/>
          <w:szCs w:val="32"/>
          <w:highlight w:val="none"/>
          <w14:textFill>
            <w14:solidFill>
              <w14:schemeClr w14:val="tx1"/>
            </w14:solidFill>
          </w14:textFill>
        </w:rPr>
        <w:t>事业编制人数1</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highlight w:val="none"/>
          <w14:textFill>
            <w14:solidFill>
              <w14:schemeClr w14:val="tx1"/>
            </w14:solidFill>
          </w14:textFill>
        </w:rPr>
        <w:t>人，2</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022</w:t>
      </w:r>
      <w:r>
        <w:rPr>
          <w:rFonts w:hint="eastAsia" w:ascii="仿宋_GB2312" w:hAnsi="宋体" w:eastAsia="仿宋_GB2312" w:cs="宋体"/>
          <w:color w:val="000000" w:themeColor="text1"/>
          <w:kern w:val="0"/>
          <w:sz w:val="32"/>
          <w:szCs w:val="32"/>
          <w:highlight w:val="none"/>
          <w14:textFill>
            <w14:solidFill>
              <w14:schemeClr w14:val="tx1"/>
            </w14:solidFill>
          </w14:textFill>
        </w:rPr>
        <w:t>年年末实有人员1</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highlight w:val="none"/>
          <w14:textFill>
            <w14:solidFill>
              <w14:schemeClr w14:val="tx1"/>
            </w14:solidFill>
          </w14:textFill>
        </w:rPr>
        <w:t>人，其中正科</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 w:val="32"/>
          <w:szCs w:val="32"/>
          <w:highlight w:val="none"/>
          <w14:textFill>
            <w14:solidFill>
              <w14:schemeClr w14:val="tx1"/>
            </w14:solidFill>
          </w14:textFill>
        </w:rPr>
        <w:t>人，副科</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highlight w:val="none"/>
          <w14:textFill>
            <w14:solidFill>
              <w14:schemeClr w14:val="tx1"/>
            </w14:solidFill>
          </w14:textFill>
        </w:rPr>
        <w:t>人，一般干部</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8</w:t>
      </w:r>
      <w:r>
        <w:rPr>
          <w:rFonts w:hint="eastAsia" w:ascii="仿宋_GB2312" w:hAnsi="宋体" w:eastAsia="仿宋_GB2312" w:cs="宋体"/>
          <w:color w:val="000000" w:themeColor="text1"/>
          <w:kern w:val="0"/>
          <w:sz w:val="32"/>
          <w:szCs w:val="32"/>
          <w:highlight w:val="none"/>
          <w14:textFill>
            <w14:solidFill>
              <w14:schemeClr w14:val="tx1"/>
            </w14:solidFill>
          </w14:textFill>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10" w:leftChars="0" w:firstLine="640" w:firstLineChars="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收入支出决算总表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5420" cy="5744845"/>
            <wp:effectExtent l="0" t="0" r="11430" b="8255"/>
            <wp:docPr id="3" name="图片 3" descr="169468165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4681653613"/>
                    <pic:cNvPicPr>
                      <a:picLocks noChangeAspect="1"/>
                    </pic:cNvPicPr>
                  </pic:nvPicPr>
                  <pic:blipFill>
                    <a:blip r:embed="rId5"/>
                    <a:stretch>
                      <a:fillRect/>
                    </a:stretch>
                  </pic:blipFill>
                  <pic:spPr>
                    <a:xfrm>
                      <a:off x="0" y="0"/>
                      <a:ext cx="5265420" cy="5744845"/>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10" w:leftChars="0" w:firstLine="640" w:firstLineChars="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收入决算表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7325" cy="4707255"/>
            <wp:effectExtent l="0" t="0" r="9525" b="17145"/>
            <wp:docPr id="4" name="图片 4" descr="169468172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4681721692"/>
                    <pic:cNvPicPr>
                      <a:picLocks noChangeAspect="1"/>
                    </pic:cNvPicPr>
                  </pic:nvPicPr>
                  <pic:blipFill>
                    <a:blip r:embed="rId6"/>
                    <a:stretch>
                      <a:fillRect/>
                    </a:stretch>
                  </pic:blipFill>
                  <pic:spPr>
                    <a:xfrm>
                      <a:off x="0" y="0"/>
                      <a:ext cx="5267325" cy="4707255"/>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10" w:leftChars="0" w:firstLine="640" w:firstLineChars="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7325" cy="5401310"/>
            <wp:effectExtent l="0" t="0" r="9525" b="8890"/>
            <wp:docPr id="5" name="图片 5" descr="169468175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94681756658"/>
                    <pic:cNvPicPr>
                      <a:picLocks noChangeAspect="1"/>
                    </pic:cNvPicPr>
                  </pic:nvPicPr>
                  <pic:blipFill>
                    <a:blip r:embed="rId7"/>
                    <a:stretch>
                      <a:fillRect/>
                    </a:stretch>
                  </pic:blipFill>
                  <pic:spPr>
                    <a:xfrm>
                      <a:off x="0" y="0"/>
                      <a:ext cx="5267325" cy="5401310"/>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10" w:leftChars="0" w:firstLine="640" w:firstLineChars="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财政拨款收入支出决算总表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424170" cy="5142230"/>
            <wp:effectExtent l="0" t="0" r="5080" b="1270"/>
            <wp:docPr id="6" name="图片 6" descr="169468222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94682224134"/>
                    <pic:cNvPicPr>
                      <a:picLocks noChangeAspect="1"/>
                    </pic:cNvPicPr>
                  </pic:nvPicPr>
                  <pic:blipFill>
                    <a:blip r:embed="rId8"/>
                    <a:stretch>
                      <a:fillRect/>
                    </a:stretch>
                  </pic:blipFill>
                  <pic:spPr>
                    <a:xfrm>
                      <a:off x="0" y="0"/>
                      <a:ext cx="5424170" cy="5142230"/>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10" w:leftChars="0" w:firstLine="640" w:firstLineChars="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一般公共预算财政拨款支出决算表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1610" cy="6213475"/>
            <wp:effectExtent l="0" t="0" r="15240" b="15875"/>
            <wp:docPr id="7" name="图片 7" descr="169468340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94683401092"/>
                    <pic:cNvPicPr>
                      <a:picLocks noChangeAspect="1"/>
                    </pic:cNvPicPr>
                  </pic:nvPicPr>
                  <pic:blipFill>
                    <a:blip r:embed="rId9"/>
                    <a:stretch>
                      <a:fillRect/>
                    </a:stretch>
                  </pic:blipFill>
                  <pic:spPr>
                    <a:xfrm>
                      <a:off x="0" y="0"/>
                      <a:ext cx="5261610" cy="6213475"/>
                    </a:xfrm>
                    <a:prstGeom prst="rect">
                      <a:avLst/>
                    </a:prstGeom>
                  </pic:spPr>
                </pic:pic>
              </a:graphicData>
            </a:graphic>
          </wp:inline>
        </w:drawing>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10" w:leftChars="0" w:firstLine="640" w:firstLineChars="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一般公共预算财政拨款基本支出决算明细表</w:t>
      </w:r>
    </w:p>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drawing>
          <wp:inline distT="0" distB="0" distL="114300" distR="114300">
            <wp:extent cx="5265420" cy="4573905"/>
            <wp:effectExtent l="0" t="0" r="11430" b="17145"/>
            <wp:docPr id="8" name="图片 8" descr="169474938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94749386630"/>
                    <pic:cNvPicPr>
                      <a:picLocks noChangeAspect="1"/>
                    </pic:cNvPicPr>
                  </pic:nvPicPr>
                  <pic:blipFill>
                    <a:blip r:embed="rId10"/>
                    <a:stretch>
                      <a:fillRect/>
                    </a:stretch>
                  </pic:blipFill>
                  <pic:spPr>
                    <a:xfrm>
                      <a:off x="0" y="0"/>
                      <a:ext cx="5265420" cy="4573905"/>
                    </a:xfrm>
                    <a:prstGeom prst="rect">
                      <a:avLst/>
                    </a:prstGeom>
                  </pic:spPr>
                </pic:pic>
              </a:graphicData>
            </a:graphic>
          </wp:inline>
        </w:drawing>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本部门没有相关数据,故本表无数据</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国有资本经营预算财政拨款支出决算表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本部门没有相关数据,故本表无数据</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财政拨款“三公”经费支出决算表</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leftChars="200" w:firstLine="320" w:firstLineChars="1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(若上述某个表为空表,请在表中备注：本部门没有相关数据,故本表无数据。)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本部门（本单位）</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收入总计3527860.76元，支出总计3527860.76元，与2021年决算数相比，收入增加896470.4元，增长34%，支出增加896470.4元，增长34%。主要原因是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人员工资增加。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2022年度收入合计</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352.786076</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万元,其中：财政拨款收入</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352.786076</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2022年度支出合计</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352.786076</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219.413546</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62.19</w:t>
      </w:r>
      <w:r>
        <w:rPr>
          <w:rFonts w:hint="eastAsia" w:ascii="仿宋_GB2312" w:hAnsi="仿宋_GB2312" w:eastAsia="仿宋_GB2312" w:cs="仿宋_GB2312"/>
          <w:color w:val="000000" w:themeColor="text1"/>
          <w:sz w:val="32"/>
          <w:szCs w:val="32"/>
          <w:lang w:val="zh-CN"/>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133.37253</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37.81</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年度财政拨款收入</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3527860.76</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元，较上年决算数增加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896470.4</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元，增长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34</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人员工资增加。</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年度财政拨款支出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3527860.76</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元，较上年决算数增加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896470.4</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元，增长</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34</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人员工资增加</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2022年度一般公共预算财政拨款支出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352.786076</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89.64704</w:t>
      </w:r>
      <w:r>
        <w:rPr>
          <w:rFonts w:hint="eastAsia" w:ascii="仿宋_GB2312" w:hAnsi="仿宋_GB2312" w:eastAsia="仿宋_GB2312" w:cs="仿宋_GB2312"/>
          <w:color w:val="000000" w:themeColor="text1"/>
          <w:sz w:val="32"/>
          <w:szCs w:val="32"/>
          <w:lang w:val="zh-CN"/>
          <w14:textFill>
            <w14:solidFill>
              <w14:schemeClr w14:val="tx1"/>
            </w14:solidFill>
          </w14:textFill>
        </w:rPr>
        <w:t>万元,增加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人员工资增加，</w:t>
      </w:r>
      <w:r>
        <w:rPr>
          <w:rFonts w:hint="eastAsia" w:ascii="仿宋_GB2312" w:hAnsi="仿宋_GB2312" w:eastAsia="仿宋_GB2312" w:cs="仿宋_GB2312"/>
          <w:color w:val="000000" w:themeColor="text1"/>
          <w:sz w:val="32"/>
          <w:szCs w:val="32"/>
          <w:lang w:val="zh-CN"/>
          <w14:textFill>
            <w14:solidFill>
              <w14:schemeClr w14:val="tx1"/>
            </w14:solidFill>
          </w14:textFill>
        </w:rPr>
        <w:t>主要用于以下几个方面：</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1.一般公共服务支出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2.229312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4.7894</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214</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主要原因是人员工资增加。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2.文化旅游体育与传媒支出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241.6602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297.30828</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123</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主要原因是演出活动增加。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lang w:val="zh-CN"/>
          <w14:textFill>
            <w14:solidFill>
              <w14:schemeClr w14:val="tx1"/>
            </w14:solidFill>
          </w14:textFill>
        </w:rPr>
        <w:t>.社会保障和就业支出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18.057527</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21.682332</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lang w:val="zh-CN"/>
          <w14:textFill>
            <w14:solidFill>
              <w14:schemeClr w14:val="tx1"/>
            </w14:solidFill>
          </w14:textFill>
        </w:rPr>
        <w:t>.卫生健康支出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7.407264</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7.418064</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100.2</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highlight w:val="red"/>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color w:val="000000" w:themeColor="text1"/>
          <w:sz w:val="32"/>
          <w:szCs w:val="32"/>
          <w:lang w:val="zh-CN"/>
          <w14:textFill>
            <w14:solidFill>
              <w14:schemeClr w14:val="tx1"/>
            </w14:solidFill>
          </w14:textFill>
        </w:rPr>
        <w:t>.农林水支出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6.6</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7.95</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120.5</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主要原因是科目变化。</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color w:val="000000" w:themeColor="text1"/>
          <w:sz w:val="32"/>
          <w:szCs w:val="32"/>
          <w:lang w:val="zh-CN"/>
          <w14:textFill>
            <w14:solidFill>
              <w14:schemeClr w14:val="tx1"/>
            </w14:solidFill>
          </w14:textFill>
        </w:rPr>
        <w:t>.住房保障支出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13.375872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14.034</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主要原因是基数增加。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219.413546</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w:t>
      </w:r>
      <w:r>
        <w:rPr>
          <w:rFonts w:hint="eastAsia" w:ascii="仿宋_GB2312" w:hAnsi="仿宋_GB2312" w:eastAsia="仿宋_GB2312" w:cs="仿宋_GB2312"/>
          <w:b/>
          <w:color w:val="000000" w:themeColor="text1"/>
          <w:sz w:val="32"/>
          <w:szCs w:val="32"/>
          <w:lang w:val="zh-CN"/>
          <w14:textFill>
            <w14:solidFill>
              <w14:schemeClr w14:val="tx1"/>
            </w14:solidFill>
          </w14:textFill>
        </w:rPr>
        <w:t>人员经费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174.089946</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34.55259</w:t>
      </w:r>
      <w:r>
        <w:rPr>
          <w:rFonts w:hint="eastAsia" w:ascii="仿宋_GB2312" w:hAnsi="仿宋_GB2312" w:eastAsia="仿宋_GB2312" w:cs="仿宋_GB2312"/>
          <w:color w:val="000000" w:themeColor="text1"/>
          <w:sz w:val="32"/>
          <w:szCs w:val="32"/>
          <w:lang w:val="zh-CN"/>
          <w14:textFill>
            <w14:solidFill>
              <w14:schemeClr w14:val="tx1"/>
            </w14:solidFill>
          </w14:textFill>
        </w:rPr>
        <w:t>万元,减少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16.6</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主要原因是人员经费减少。</w:t>
      </w:r>
      <w:r>
        <w:rPr>
          <w:rFonts w:hint="eastAsia" w:ascii="仿宋_GB2312" w:hAnsi="仿宋_GB2312" w:eastAsia="仿宋_GB2312" w:cs="仿宋_GB2312"/>
          <w:color w:val="000000" w:themeColor="text1"/>
          <w:sz w:val="32"/>
          <w:szCs w:val="32"/>
          <w:lang w:val="zh-CN"/>
          <w14:textFill>
            <w14:solidFill>
              <w14:schemeClr w14:val="tx1"/>
            </w14:solidFill>
          </w14:textFill>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主要包括基本工资123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12325万元、津贴补贴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5.9万元、奖金4.7283万元、机关事业单位基本养老保险缴费18.886332万元、职工基本医疗保险缴费7.418064、住房公积金14.034万元、生活补助4.95万元、奖励金28.7601万元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11.6135</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42.883</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369</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主要原因是经费减少，</w:t>
      </w:r>
      <w:r>
        <w:rPr>
          <w:rFonts w:hint="eastAsia" w:ascii="仿宋_GB2312" w:hAnsi="仿宋_GB2312" w:eastAsia="仿宋_GB2312" w:cs="仿宋_GB2312"/>
          <w:color w:val="000000" w:themeColor="text1"/>
          <w:sz w:val="32"/>
          <w:szCs w:val="32"/>
          <w:lang w:val="zh-CN"/>
          <w14:textFill>
            <w14:solidFill>
              <w14:schemeClr w14:val="tx1"/>
            </w14:solidFill>
          </w14:textFill>
        </w:rPr>
        <w:t>公用经费用途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主要包括办公费7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2281万元、差旅费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0.196万元、劳务费2.4万元、工会经费1.7894万元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七</w:t>
      </w:r>
      <w:r>
        <w:rPr>
          <w:rFonts w:hint="eastAsia" w:ascii="仿宋_GB2312" w:hAnsi="仿宋_GB2312" w:eastAsia="仿宋_GB2312" w:cs="仿宋_GB2312"/>
          <w:b/>
          <w:color w:val="000000" w:themeColor="text1"/>
          <w:sz w:val="32"/>
          <w:szCs w:val="32"/>
          <w:lang w:val="zh-CN"/>
          <w14:textFill>
            <w14:solidFill>
              <w14:schemeClr w14:val="tx1"/>
            </w14:solidFill>
          </w14:textFill>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2022年度本部门机关运行经费支出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11.6135</w:t>
      </w:r>
      <w:r>
        <w:rPr>
          <w:rFonts w:hint="eastAsia" w:ascii="仿宋_GB2312" w:hAnsi="仿宋_GB2312" w:eastAsia="仿宋_GB2312" w:cs="仿宋_GB2312"/>
          <w:color w:val="000000" w:themeColor="text1"/>
          <w:sz w:val="32"/>
          <w:szCs w:val="32"/>
          <w:lang w:val="zh-CN"/>
          <w14:textFill>
            <w14:solidFill>
              <w14:schemeClr w14:val="tx1"/>
            </w14:solidFill>
          </w14:textFill>
        </w:rPr>
        <w:t>万元,机关运行经费</w:t>
      </w:r>
      <w:r>
        <w:rPr>
          <w:rFonts w:hint="eastAsia" w:ascii="仿宋_GB2312" w:hAnsi="仿宋_GB2312" w:eastAsia="仿宋_GB2312" w:cs="仿宋_GB2312"/>
          <w:color w:val="000000" w:themeColor="text1"/>
          <w:sz w:val="32"/>
          <w:szCs w:val="32"/>
          <w:lang w:val="zh-CN"/>
          <w14:textFill>
            <w14:solidFill>
              <w14:schemeClr w14:val="tx1"/>
            </w14:solidFill>
          </w14:textFill>
        </w:rPr>
        <w:t>主要用于开支办公费7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2281万元、差旅费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0.196万元、劳务费2.4万元、工会经费1.7894万元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机关运行经费较上年决算数减少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42.883</w:t>
      </w:r>
      <w:r>
        <w:rPr>
          <w:rFonts w:hint="eastAsia" w:ascii="仿宋_GB2312" w:hAnsi="仿宋_GB2312" w:eastAsia="仿宋_GB2312" w:cs="仿宋_GB2312"/>
          <w:color w:val="000000" w:themeColor="text1"/>
          <w:sz w:val="32"/>
          <w:szCs w:val="32"/>
          <w:lang w:val="zh-CN"/>
          <w14:textFill>
            <w14:solidFill>
              <w14:schemeClr w14:val="tx1"/>
            </w14:solidFill>
          </w14:textFill>
        </w:rPr>
        <w:t>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369</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主要原因是经费减少。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八、政府采购支出情况说明</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九</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截至2022年12月31日,本部门共有车辆辆,其中,副部(省)级及以上领导用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车辆、主要领导干部用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车辆、机要通信用车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辆、应急保障用车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辆、执法执勤用车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辆,特种专业技术用车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辆,离退休干部用车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w:t>
      </w:r>
      <w:r>
        <w:rPr>
          <w:rFonts w:hint="eastAsia" w:ascii="仿宋_GB2312" w:hAnsi="仿宋_GB2312" w:eastAsia="仿宋_GB2312" w:cs="仿宋_GB2312"/>
          <w:color w:val="000000" w:themeColor="text1"/>
          <w:sz w:val="32"/>
          <w:szCs w:val="32"/>
          <w:lang w:val="zh-CN"/>
          <w14:textFill>
            <w14:solidFill>
              <w14:schemeClr w14:val="tx1"/>
            </w14:solidFill>
          </w14:textFill>
        </w:rPr>
        <w:t>主要是用于……(由部门根据实际情况补充原因)。</w:t>
      </w:r>
      <w:r>
        <w:rPr>
          <w:rFonts w:hint="eastAsia" w:ascii="仿宋_GB2312" w:hAnsi="仿宋_GB2312" w:eastAsia="仿宋_GB2312" w:cs="仿宋_GB2312"/>
          <w:color w:val="000000" w:themeColor="text1"/>
          <w:sz w:val="32"/>
          <w:szCs w:val="32"/>
          <w:lang w:val="zh-CN"/>
          <w14:textFill>
            <w14:solidFill>
              <w14:schemeClr w14:val="tx1"/>
            </w14:solidFill>
          </w14:textFill>
        </w:rPr>
        <w:t>单价100万元(含)以上设备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000000" w:themeColor="text1"/>
          <w:kern w:val="2"/>
          <w:sz w:val="2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w:t>
      </w:r>
      <w:r>
        <w:rPr>
          <w:rFonts w:hint="eastAsia" w:ascii="仿宋_GB2312" w:hAnsi="仿宋_GB2312" w:eastAsia="仿宋_GB2312" w:cs="仿宋_GB2312"/>
          <w:b/>
          <w:color w:val="000000" w:themeColor="text1"/>
          <w:sz w:val="32"/>
          <w:szCs w:val="32"/>
          <w:lang w:val="en-US"/>
          <w14:textFill>
            <w14:solidFill>
              <w14:schemeClr w14:val="tx1"/>
            </w14:solidFill>
          </w14:textFill>
        </w:rPr>
        <w:t>一</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十二</w:t>
      </w:r>
      <w:r>
        <w:rPr>
          <w:rFonts w:hint="eastAsia" w:ascii="仿宋_GB2312" w:hAnsi="仿宋_GB2312" w:eastAsia="仿宋_GB2312" w:cs="仿宋_GB2312"/>
          <w:b/>
          <w:color w:val="000000" w:themeColor="text1"/>
          <w:sz w:val="32"/>
          <w:szCs w:val="32"/>
          <w:lang w:val="zh-CN"/>
          <w14:textFill>
            <w14:solidFill>
              <w14:schemeClr w14:val="tx1"/>
            </w14:solidFill>
          </w14:textFill>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我单位属于事业单位,财政未保障我单位“三公”经费。</w:t>
      </w:r>
      <w:r>
        <w:rPr>
          <w:rFonts w:hint="eastAsia" w:ascii="仿宋_GB2312" w:hAnsi="仿宋_GB2312" w:eastAsia="仿宋_GB2312" w:cs="仿宋_GB2312"/>
          <w:b/>
          <w:color w:val="000000" w:themeColor="text1"/>
          <w:sz w:val="32"/>
          <w:szCs w:val="32"/>
          <w:lang w:val="zh-CN"/>
          <w14:textFill>
            <w14:solidFill>
              <w14:schemeClr w14:val="tx1"/>
            </w14:solidFill>
          </w14:textFill>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2022年度“三公”经费支出</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万元,决算数小于预算数的主要原因是.....(由部门根据实际情况补充),</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1.因公出国(境)费用</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主要原因是.....(由部门根据实际情况补充),</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2.公务用车购置及运行维护费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主要原因是.....(由部门根据实际情况补充),</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其中：公务用车购置费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主要原因是.....(由部门根据实际情况补充),</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主要原因是.....(由部门根据实际情况补充),</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3.公务接待费</w:t>
      </w:r>
      <w:r>
        <w:rPr>
          <w:rFonts w:hint="eastAsia" w:ascii="仿宋_GB2312" w:hAnsi="仿宋_GB2312" w:eastAsia="仿宋_GB2312" w:cs="仿宋_GB2312"/>
          <w:color w:val="000000" w:themeColor="text1"/>
          <w:sz w:val="32"/>
          <w:szCs w:val="32"/>
          <w:lang w:val="en-US"/>
          <w14:textFill>
            <w14:solidFill>
              <w14:schemeClr w14:val="tx1"/>
            </w14:solidFill>
          </w14:textFill>
        </w:rPr>
        <w:t>全</w:t>
      </w:r>
      <w:r>
        <w:rPr>
          <w:rFonts w:hint="eastAsia" w:ascii="仿宋_GB2312" w:hAnsi="仿宋_GB2312" w:eastAsia="仿宋_GB2312" w:cs="仿宋_GB2312"/>
          <w:color w:val="000000" w:themeColor="text1"/>
          <w:sz w:val="32"/>
          <w:szCs w:val="32"/>
          <w:lang w:val="zh-CN"/>
          <w14:textFill>
            <w14:solidFill>
              <w14:schemeClr w14:val="tx1"/>
            </w14:solidFill>
          </w14:textFill>
        </w:rPr>
        <w:t>年预算数为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主要原因是.....(由部门根据实际情况补充),</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w:t>
      </w:r>
      <w:r>
        <w:rPr>
          <w:rFonts w:hint="eastAsia" w:ascii="仿宋_GB2312" w:hAnsi="仿宋_GB2312" w:eastAsia="仿宋_GB2312" w:cs="仿宋_GB2312"/>
          <w:b/>
          <w:color w:val="000000" w:themeColor="text1"/>
          <w:sz w:val="32"/>
          <w:szCs w:val="32"/>
          <w:lang w:val="zh-CN"/>
          <w14:textFill>
            <w14:solidFill>
              <w14:schemeClr w14:val="tx1"/>
            </w14:solidFill>
          </w14:textFill>
        </w:rPr>
        <w:t>因公出国(境)</w:t>
      </w:r>
      <w:r>
        <w:rPr>
          <w:rFonts w:hint="eastAsia" w:ascii="仿宋_GB2312" w:hAnsi="仿宋_GB2312" w:eastAsia="仿宋_GB2312" w:cs="仿宋_GB2312"/>
          <w:color w:val="000000" w:themeColor="text1"/>
          <w:sz w:val="32"/>
          <w:szCs w:val="32"/>
          <w:lang w:val="zh-CN"/>
          <w14:textFill>
            <w14:solidFill>
              <w14:schemeClr w14:val="tx1"/>
            </w14:solidFill>
          </w14:textFill>
        </w:rPr>
        <w:t>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个团组,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公务用车购置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公务用车保有量</w:t>
      </w:r>
      <w:r>
        <w:rPr>
          <w:rFonts w:hint="eastAsia" w:ascii="仿宋_GB2312" w:hAnsi="仿宋_GB2312" w:eastAsia="仿宋_GB2312" w:cs="仿宋_GB2312"/>
          <w:color w:val="000000" w:themeColor="text1"/>
          <w:sz w:val="32"/>
          <w:szCs w:val="32"/>
          <w:lang w:val="zh-CN"/>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国内公务接待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人,其中：</w:t>
      </w:r>
      <w:r>
        <w:rPr>
          <w:rFonts w:hint="eastAsia" w:ascii="仿宋_GB2312" w:hAnsi="仿宋_GB2312" w:eastAsia="仿宋_GB2312" w:cs="仿宋_GB2312"/>
          <w:b/>
          <w:color w:val="000000" w:themeColor="text1"/>
          <w:sz w:val="32"/>
          <w:szCs w:val="32"/>
          <w:lang w:val="zh-CN"/>
          <w14:textFill>
            <w14:solidFill>
              <w14:schemeClr w14:val="tx1"/>
            </w14:solidFill>
          </w14:textFill>
        </w:rPr>
        <w:t>外事接待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国(境)外公务接待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我单位未实施项目，无绩效评价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根据预算绩效管理要求,本部门对2022年度一般公共预算项目支出全面开展绩效自评,其中,一级项目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个,二级项目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万元,占一般公共预算项目支出总额的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%。对2022年度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个政府性基金预算项目开展绩效自评,共涉及资金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万元,占政府性基金预算项目支出总额的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%。组织对2022年度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个国有资本经营预算项目开展绩效自评,共涉及资金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万元,占国有资本经营预算项目支出总额的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%。组织对</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个项目开展了部门评价,涉及一般公共预算支出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万元,政府性基金预算支出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万元,国有资本经营预算支出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万元。从评价情况来看,</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……(请对绩效评价情况进行简要说明)。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1.绩效目标自评表(分项目进行综述)</w:t>
      </w:r>
    </w:p>
    <w:p>
      <w:pPr>
        <w:tabs>
          <w:tab w:val="left" w:pos="1327"/>
        </w:tabs>
        <w:bidi w:val="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我部门在2022年度部门决算中反映</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个项目绩效自评结果。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项目绩效自评情况：根据年初设定的绩效目标,项目绩效自评得分为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分。项目全年预算数为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万元,执行数为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万元,完成预算的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%。项目绩效目标完成情况：</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一是……；二是……。</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发现的主要问题及原因：</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一是……；二是……。</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下一步改进措施：</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一是……；二是……。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项目绩效自评情况：……。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主管部门需随决算公开部门评价(含委托第三方对部门政策或项目开展重点绩效评价的)报告或案例,可以附件形式附后。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一、财政拨款收入</w:t>
      </w:r>
      <w:r>
        <w:rPr>
          <w:rFonts w:hint="eastAsia" w:ascii="仿宋_GB2312" w:hAnsi="仿宋_GB2312" w:eastAsia="仿宋_GB2312" w:cs="仿宋_GB2312"/>
          <w:color w:val="000000" w:themeColor="text1"/>
          <w:sz w:val="32"/>
          <w:szCs w:val="32"/>
          <w:lang w:val="zh-CN"/>
          <w14:textFill>
            <w14:solidFill>
              <w14:schemeClr w14:val="tx1"/>
            </w14:solidFill>
          </w14:textFill>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二、事业收入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三、经营收入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四、其他收入</w:t>
      </w:r>
      <w:r>
        <w:rPr>
          <w:rFonts w:hint="eastAsia" w:ascii="仿宋_GB2312" w:hAnsi="仿宋_GB2312" w:eastAsia="仿宋_GB2312" w:cs="仿宋_GB2312"/>
          <w:color w:val="000000" w:themeColor="text1"/>
          <w:sz w:val="32"/>
          <w:szCs w:val="32"/>
          <w:lang w:val="zh-CN"/>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五、年初结转和结余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六、结余分配</w:t>
      </w:r>
      <w:r>
        <w:rPr>
          <w:rFonts w:hint="eastAsia" w:ascii="仿宋_GB2312" w:hAnsi="仿宋_GB2312" w:eastAsia="仿宋_GB2312" w:cs="仿宋_GB2312"/>
          <w:color w:val="000000" w:themeColor="text1"/>
          <w:sz w:val="32"/>
          <w:szCs w:val="32"/>
          <w:lang w:val="zh-CN"/>
          <w14:textFill>
            <w14:solidFill>
              <w14:schemeClr w14:val="tx1"/>
            </w14:solidFill>
          </w14:textFill>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七、年末结转和结余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八、基本支出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九、项目支出</w:t>
      </w:r>
      <w:r>
        <w:rPr>
          <w:rFonts w:hint="eastAsia" w:ascii="仿宋_GB2312" w:hAnsi="仿宋_GB2312" w:eastAsia="仿宋_GB2312" w:cs="仿宋_GB2312"/>
          <w:color w:val="000000" w:themeColor="text1"/>
          <w:sz w:val="32"/>
          <w:szCs w:val="32"/>
          <w:lang w:val="zh-CN"/>
          <w14:textFill>
            <w14:solidFill>
              <w14:schemeClr w14:val="tx1"/>
            </w14:solidFill>
          </w14:textFill>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十、经营支出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十一、“三公”经费</w:t>
      </w:r>
      <w:r>
        <w:rPr>
          <w:rFonts w:hint="eastAsia" w:ascii="仿宋_GB2312" w:hAnsi="仿宋_GB2312" w:eastAsia="仿宋_GB2312" w:cs="仿宋_GB2312"/>
          <w:color w:val="000000" w:themeColor="text1"/>
          <w:sz w:val="32"/>
          <w:szCs w:val="32"/>
          <w:lang w:val="zh-CN"/>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十二、机关运行经费</w:t>
      </w:r>
      <w:r>
        <w:rPr>
          <w:rFonts w:hint="eastAsia" w:ascii="仿宋_GB2312" w:hAnsi="仿宋_GB2312" w:eastAsia="仿宋_GB2312" w:cs="仿宋_GB2312"/>
          <w:color w:val="000000" w:themeColor="text1"/>
          <w:sz w:val="32"/>
          <w:szCs w:val="32"/>
          <w:lang w:val="zh-CN"/>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十三、工资福利支出（支出经济分类科目类级）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十四、商品和服务支出（支出经济分类科目类级）：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十五、对个人和家庭的补助（支出经济分类科目类级）：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十六、其他资本性支出（支出经济分类科目类级）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十七、用事业基金弥补收支差额：</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2CCD4"/>
    <w:multiLevelType w:val="singleLevel"/>
    <w:tmpl w:val="0C32CCD4"/>
    <w:lvl w:ilvl="0" w:tentative="0">
      <w:start w:val="1"/>
      <w:numFmt w:val="chineseCounting"/>
      <w:suff w:val="nothing"/>
      <w:lvlText w:val="%1、"/>
      <w:lvlJc w:val="left"/>
      <w:pPr>
        <w:ind w:left="-10"/>
      </w:pPr>
      <w:rPr>
        <w:rFonts w:hint="eastAsia"/>
      </w:rPr>
    </w:lvl>
  </w:abstractNum>
  <w:abstractNum w:abstractNumId="1">
    <w:nsid w:val="51B15ABF"/>
    <w:multiLevelType w:val="singleLevel"/>
    <w:tmpl w:val="51B15ABF"/>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NmZkMTRhMzUzYmZjMWQwOTdhNjJlZDQ0MmU3YWUifQ=="/>
  </w:docVars>
  <w:rsids>
    <w:rsidRoot w:val="00000000"/>
    <w:rsid w:val="02AA4B1F"/>
    <w:rsid w:val="0D386A9E"/>
    <w:rsid w:val="11B25539"/>
    <w:rsid w:val="12A34BDD"/>
    <w:rsid w:val="1AD863F9"/>
    <w:rsid w:val="23A355D9"/>
    <w:rsid w:val="302D2CFD"/>
    <w:rsid w:val="470E7B71"/>
    <w:rsid w:val="5D387615"/>
    <w:rsid w:val="669366C6"/>
    <w:rsid w:val="69AA14E4"/>
    <w:rsid w:val="6F9277B6"/>
    <w:rsid w:val="73DF5979"/>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5.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8.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9f816721-a34c-4b38-8df9-8940ce05977f}">
  <ds:schemaRefs/>
</ds:datastoreItem>
</file>

<file path=customXml/itemProps3.xml><?xml version="1.0" encoding="utf-8"?>
<ds:datastoreItem xmlns:ds="http://schemas.openxmlformats.org/officeDocument/2006/customXml" ds:itemID="{abd899ba-6e03-4791-9897-a1bbba214d3e}">
  <ds:schemaRefs/>
</ds:datastoreItem>
</file>

<file path=customXml/itemProps4.xml><?xml version="1.0" encoding="utf-8"?>
<ds:datastoreItem xmlns:ds="http://schemas.openxmlformats.org/officeDocument/2006/customXml" ds:itemID="{9ebdd679-4610-4a7d-99c1-8a4128f5cebc}">
  <ds:schemaRefs/>
</ds:datastoreItem>
</file>

<file path=customXml/itemProps5.xml><?xml version="1.0" encoding="utf-8"?>
<ds:datastoreItem xmlns:ds="http://schemas.openxmlformats.org/officeDocument/2006/customXml" ds:itemID="{65f361dc-07a0-4362-b527-b3db1c437bbe}">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d38ddf7c-f42f-4139-a6d5-4c272742fb01}">
  <ds:schemaRefs/>
</ds:datastoreItem>
</file>

<file path=customXml/itemProps8.xml><?xml version="1.0" encoding="utf-8"?>
<ds:datastoreItem xmlns:ds="http://schemas.openxmlformats.org/officeDocument/2006/customXml" ds:itemID="{dd9736f0-b4da-40c5-bb91-cccf845c036b}">
  <ds:schemaRefs/>
</ds:datastoreItem>
</file>

<file path=customXml/itemProps9.xml><?xml version="1.0" encoding="utf-8"?>
<ds:datastoreItem xmlns:ds="http://schemas.openxmlformats.org/officeDocument/2006/customXml" ds:itemID="{d598932f-d44b-446f-8f36-105025c3f829}">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6697</Words>
  <Characters>7458</Characters>
  <Lines>0</Lines>
  <Paragraphs>0</Paragraphs>
  <TotalTime>10</TotalTime>
  <ScaleCrop>false</ScaleCrop>
  <LinksUpToDate>false</LinksUpToDate>
  <CharactersWithSpaces>7458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2023-09-15T03:44:13Z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21BF0FCCA1B1468E994E408027E158E6_13</vt:lpwstr>
  </property>
</Properties>
</file>